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806" w:rsidRPr="001C42CA" w:rsidRDefault="00E364A3">
      <w:pPr>
        <w:spacing w:line="360" w:lineRule="auto"/>
        <w:jc w:val="center"/>
        <w:rPr>
          <w:rFonts w:ascii="Times New Roman" w:hAnsi="Times New Roman" w:cs="Arial"/>
          <w:b/>
          <w:sz w:val="28"/>
        </w:rPr>
      </w:pPr>
      <w:r w:rsidRPr="001C42CA">
        <w:rPr>
          <w:rFonts w:ascii="Times New Roman" w:hAnsi="Times New Roman" w:cs="Arial"/>
          <w:b/>
          <w:sz w:val="28"/>
        </w:rPr>
        <w:t xml:space="preserve">Il consumo di calorie, micro e macro nutrienti: </w:t>
      </w:r>
    </w:p>
    <w:p w:rsidR="001E2806" w:rsidRPr="001C42CA" w:rsidRDefault="00E364A3">
      <w:pPr>
        <w:spacing w:line="360" w:lineRule="auto"/>
        <w:jc w:val="center"/>
        <w:rPr>
          <w:rFonts w:ascii="Times New Roman" w:hAnsi="Times New Roman" w:cs="Arial"/>
          <w:b/>
          <w:sz w:val="28"/>
        </w:rPr>
      </w:pPr>
      <w:r w:rsidRPr="001C42CA">
        <w:rPr>
          <w:rFonts w:ascii="Times New Roman" w:hAnsi="Times New Roman" w:cs="Arial"/>
          <w:b/>
          <w:sz w:val="28"/>
        </w:rPr>
        <w:t xml:space="preserve">cosa </w:t>
      </w:r>
      <w:r w:rsidR="00422A95">
        <w:rPr>
          <w:rFonts w:ascii="Times New Roman" w:hAnsi="Times New Roman" w:cs="Arial"/>
          <w:b/>
          <w:sz w:val="28"/>
        </w:rPr>
        <w:t xml:space="preserve">insegnano </w:t>
      </w:r>
      <w:r w:rsidRPr="001C42CA">
        <w:rPr>
          <w:rFonts w:ascii="Times New Roman" w:hAnsi="Times New Roman" w:cs="Arial"/>
          <w:b/>
          <w:sz w:val="28"/>
        </w:rPr>
        <w:t>le elasticità al reddito?</w:t>
      </w:r>
    </w:p>
    <w:p w:rsidR="001E2806" w:rsidRPr="001C42CA" w:rsidRDefault="001E2806">
      <w:pPr>
        <w:spacing w:line="360" w:lineRule="auto"/>
        <w:jc w:val="center"/>
        <w:rPr>
          <w:rFonts w:ascii="Times New Roman" w:hAnsi="Times New Roman" w:cs="Arial"/>
          <w:b/>
          <w:sz w:val="28"/>
        </w:rPr>
      </w:pPr>
    </w:p>
    <w:p w:rsidR="001E2806" w:rsidRDefault="00515A19">
      <w:pPr>
        <w:pStyle w:val="ListParagraph"/>
        <w:numPr>
          <w:ilvl w:val="0"/>
          <w:numId w:val="2"/>
        </w:numPr>
        <w:spacing w:after="0" w:line="360" w:lineRule="auto"/>
        <w:jc w:val="both"/>
        <w:rPr>
          <w:rFonts w:ascii="Times New Roman" w:hAnsi="Times New Roman" w:cs="Arial"/>
          <w:b/>
          <w:lang w:val="en-GB"/>
        </w:rPr>
      </w:pPr>
      <w:r>
        <w:rPr>
          <w:rFonts w:ascii="Times New Roman" w:hAnsi="Times New Roman" w:cs="Arial"/>
          <w:b/>
          <w:lang w:val="en-GB"/>
        </w:rPr>
        <w:t>Introduzione</w:t>
      </w:r>
    </w:p>
    <w:p w:rsidR="001E2806" w:rsidRDefault="00515A19">
      <w:pPr>
        <w:pStyle w:val="Testopreformattato"/>
        <w:spacing w:line="360" w:lineRule="auto"/>
        <w:jc w:val="both"/>
        <w:rPr>
          <w:rFonts w:ascii="Times New Roman" w:hAnsi="Times New Roman"/>
        </w:rPr>
      </w:pPr>
      <w:bookmarkStart w:id="0" w:name="tw-target-text"/>
      <w:bookmarkEnd w:id="0"/>
      <w:r>
        <w:rPr>
          <w:rFonts w:ascii="Times New Roman" w:hAnsi="Times New Roman"/>
        </w:rPr>
        <w:t xml:space="preserve">Negli ultimi anni sicurezza alimentare, malnutrizione, accesso al cibo sono stati temi molto dibattuti a livello internazionale (UE, 2015). In particolare è stato ampiamente riconosciuto che le carenze di macro e micro-nutrienti influenzano il livello di povertà e lo sviluppo economico: le carenze più dannose sono certamente quelle relative a ferro, zinco, vitamina A e iodio (Ruel e </w:t>
      </w:r>
      <w:r w:rsidR="00E364A3" w:rsidRPr="001C42CA">
        <w:rPr>
          <w:rFonts w:ascii="Times New Roman" w:hAnsi="Times New Roman" w:cs="Arial"/>
        </w:rPr>
        <w:t>Alderman</w:t>
      </w:r>
      <w:r>
        <w:rPr>
          <w:rFonts w:ascii="Times New Roman" w:hAnsi="Times New Roman"/>
        </w:rPr>
        <w:t>, 2013).</w:t>
      </w:r>
    </w:p>
    <w:p w:rsidR="001E2806" w:rsidRDefault="00515A19">
      <w:pPr>
        <w:pStyle w:val="Testopreformattato"/>
        <w:spacing w:line="360" w:lineRule="auto"/>
        <w:jc w:val="both"/>
        <w:rPr>
          <w:rFonts w:ascii="Times New Roman" w:hAnsi="Times New Roman"/>
        </w:rPr>
      </w:pPr>
      <w:r>
        <w:rPr>
          <w:rFonts w:ascii="Times New Roman" w:hAnsi="Times New Roman"/>
        </w:rPr>
        <w:t xml:space="preserve">La disponibilità di cibo è fondamentale per soddisfare una nutrizione adeguata, ed essa è certamente influenzata dalle dinamiche dei prezzi alimentari (FAO, 2013). La meta-analisi di Green </w:t>
      </w:r>
      <w:r w:rsidR="00E364A3" w:rsidRPr="001C42CA">
        <w:rPr>
          <w:rFonts w:ascii="Times New Roman" w:hAnsi="Times New Roman"/>
          <w:i/>
        </w:rPr>
        <w:t>et. al.</w:t>
      </w:r>
      <w:r>
        <w:rPr>
          <w:rFonts w:ascii="Times New Roman" w:hAnsi="Times New Roman"/>
        </w:rPr>
        <w:t xml:space="preserve"> (2013),</w:t>
      </w:r>
      <w:r w:rsidR="001C42CA">
        <w:rPr>
          <w:rFonts w:ascii="Times New Roman" w:hAnsi="Times New Roman"/>
        </w:rPr>
        <w:t xml:space="preserve"> ovvero l’analisi dei risultati di lavori scientifici,</w:t>
      </w:r>
      <w:r>
        <w:rPr>
          <w:rFonts w:ascii="Times New Roman" w:hAnsi="Times New Roman"/>
        </w:rPr>
        <w:t xml:space="preserve"> riguardante 136 studi condotti sia in paesi in via di sviluppo, sia in paesi sviluppati, dimostra che il consumo di cibo nei paesi poveri è più sensibile alle variazioni dei prezzi rispetto </w:t>
      </w:r>
      <w:r w:rsidR="005C36D8">
        <w:rPr>
          <w:rFonts w:ascii="Times New Roman" w:hAnsi="Times New Roman"/>
        </w:rPr>
        <w:t>che ne</w:t>
      </w:r>
      <w:r>
        <w:rPr>
          <w:rFonts w:ascii="Times New Roman" w:hAnsi="Times New Roman"/>
        </w:rPr>
        <w:t>i paesi sviluppati. Tale risultato è spiegato dalla più alta frazione di reddito impiegata per le spese alimentari nei paesi in via di sviluppo. I consumatori nei paesi in via di sviluppo sono, di conseguenza, più vulnerabili ai cambiamenti dei prezzi alimentari in termini di consumo calorico e di nutrienti e tendono a sostituire cibi più costosi, come gli alimenti di origine animale, con cibi meno costosi ma meno nutrienti. La conseguente riduzione della diversità della dieta potrebbe avere un impatto negativo sull'adeguatezza dei nutrienti, in particolare per quanto riguarda l'assunzione di micronutrienti. Ruel (2003), recensendo numerosi studi sulla qualità della dieta, conclude che la diversità della dieta è positivamente associata alla adeguatezza dei nutrienti: tale risultato è valido sia nei paesi in via di sviluppo che nei paesi sviluppati.</w:t>
      </w:r>
    </w:p>
    <w:p w:rsidR="001E2806" w:rsidRDefault="00515A19">
      <w:pPr>
        <w:pStyle w:val="Testopreformattato"/>
        <w:spacing w:line="360" w:lineRule="auto"/>
        <w:jc w:val="both"/>
        <w:rPr>
          <w:rFonts w:ascii="Times New Roman" w:hAnsi="Times New Roman"/>
        </w:rPr>
      </w:pPr>
      <w:r>
        <w:rPr>
          <w:rFonts w:ascii="Times New Roman" w:hAnsi="Times New Roman"/>
        </w:rPr>
        <w:t xml:space="preserve">La letteratura sull'elasticità al reddito di calorie e nutrienti è ampia, ed evidenzia una grande eterogeneità delle stime dovute a differenze nei disegni di ricerca, o dinamiche temporali e spaziali. Molti fattori tendono ad influenzare le stime empiriche di elasticità al reddito nel consumo di nutrienti: </w:t>
      </w:r>
      <w:r w:rsidR="00422A95">
        <w:rPr>
          <w:rFonts w:ascii="Times New Roman" w:hAnsi="Times New Roman"/>
        </w:rPr>
        <w:t xml:space="preserve">nel </w:t>
      </w:r>
      <w:r>
        <w:rPr>
          <w:rFonts w:ascii="Times New Roman" w:hAnsi="Times New Roman"/>
        </w:rPr>
        <w:t>presente articolo riveder</w:t>
      </w:r>
      <w:r w:rsidR="00422A95">
        <w:rPr>
          <w:rFonts w:ascii="Times New Roman" w:hAnsi="Times New Roman"/>
        </w:rPr>
        <w:t>o</w:t>
      </w:r>
      <w:r>
        <w:rPr>
          <w:rFonts w:ascii="Times New Roman" w:hAnsi="Times New Roman"/>
        </w:rPr>
        <w:t xml:space="preserve"> sistematicamente l'elasticità al reddito di calorie, macronutrienti e micronutrienti. In particolare, </w:t>
      </w:r>
      <w:r w:rsidR="00422A95">
        <w:rPr>
          <w:rFonts w:ascii="Times New Roman" w:hAnsi="Times New Roman"/>
        </w:rPr>
        <w:t xml:space="preserve">ho </w:t>
      </w:r>
      <w:r>
        <w:rPr>
          <w:rFonts w:ascii="Times New Roman" w:hAnsi="Times New Roman"/>
        </w:rPr>
        <w:t>considera</w:t>
      </w:r>
      <w:r w:rsidR="00422A95">
        <w:rPr>
          <w:rFonts w:ascii="Times New Roman" w:hAnsi="Times New Roman"/>
        </w:rPr>
        <w:t>to</w:t>
      </w:r>
      <w:r>
        <w:rPr>
          <w:rFonts w:ascii="Times New Roman" w:hAnsi="Times New Roman"/>
        </w:rPr>
        <w:t xml:space="preserve"> un cospicuo numero di stime sull'elasticità al reddito di calorie, proteine, grassi, zinco, ferro e vitamina A. L'analisi include studi condotti nei paesi sviluppati e </w:t>
      </w:r>
      <w:r w:rsidR="005C36D8">
        <w:rPr>
          <w:rFonts w:ascii="Times New Roman" w:hAnsi="Times New Roman"/>
        </w:rPr>
        <w:t xml:space="preserve">in quelli </w:t>
      </w:r>
      <w:r>
        <w:rPr>
          <w:rFonts w:ascii="Times New Roman" w:hAnsi="Times New Roman"/>
        </w:rPr>
        <w:t>in via di sviluppo. Sebbene recenti studi abbiano evidenziato quale sia l'elasticità al reddito nel consumo di calorie (ad esempio Ogundari e Abdulai, 2013), non vi sono recension</w:t>
      </w:r>
      <w:r w:rsidR="005C36D8">
        <w:rPr>
          <w:rFonts w:ascii="Times New Roman" w:hAnsi="Times New Roman"/>
        </w:rPr>
        <w:t>i</w:t>
      </w:r>
      <w:r>
        <w:rPr>
          <w:rFonts w:ascii="Times New Roman" w:hAnsi="Times New Roman"/>
        </w:rPr>
        <w:t xml:space="preserve"> che esaminino, su base comparativa, le elasticità al reddito di calorie, micronutrienti e micronutrienti. Lo studio presenta altresì riflessioni sulle determinanti della eterogeneità delle stime per mezzo di un rigoroso approccio econometrico: la meta-analisi. Quanto evidenziato nel presente articolo è rilevante per il dibattito in corso sulla sicurezza alimentare.</w:t>
      </w:r>
    </w:p>
    <w:p w:rsidR="001E2806" w:rsidRPr="001C42CA" w:rsidRDefault="001E2806">
      <w:pPr>
        <w:spacing w:line="360" w:lineRule="auto"/>
        <w:ind w:left="360"/>
        <w:jc w:val="both"/>
        <w:rPr>
          <w:rFonts w:cs="Arial"/>
        </w:rPr>
      </w:pPr>
    </w:p>
    <w:p w:rsidR="001E2806" w:rsidRDefault="00515A19">
      <w:pPr>
        <w:pStyle w:val="ListParagraph"/>
        <w:numPr>
          <w:ilvl w:val="0"/>
          <w:numId w:val="2"/>
        </w:numPr>
        <w:spacing w:after="0" w:line="360" w:lineRule="auto"/>
        <w:rPr>
          <w:b/>
          <w:i/>
          <w:lang w:val="en-GB"/>
        </w:rPr>
      </w:pPr>
      <w:r>
        <w:rPr>
          <w:b/>
          <w:i/>
          <w:lang w:val="en-GB"/>
        </w:rPr>
        <w:t xml:space="preserve">Dati e metodologia </w:t>
      </w:r>
    </w:p>
    <w:p w:rsidR="001E2806" w:rsidRDefault="001E2806">
      <w:pPr>
        <w:pStyle w:val="ListParagraph"/>
        <w:spacing w:after="0" w:line="360" w:lineRule="auto"/>
        <w:ind w:left="0"/>
      </w:pPr>
    </w:p>
    <w:p w:rsidR="001E2806" w:rsidRDefault="00515A19">
      <w:pPr>
        <w:pStyle w:val="ListParagraph"/>
        <w:spacing w:after="0" w:line="360" w:lineRule="auto"/>
        <w:ind w:left="0"/>
        <w:jc w:val="both"/>
        <w:rPr>
          <w:rFonts w:ascii="Times New Roman" w:hAnsi="Times New Roman"/>
          <w:sz w:val="20"/>
          <w:szCs w:val="20"/>
          <w:lang w:val="it-IT"/>
        </w:rPr>
      </w:pPr>
      <w:bookmarkStart w:id="1" w:name="tw-target-text3"/>
      <w:bookmarkEnd w:id="1"/>
      <w:r>
        <w:rPr>
          <w:rFonts w:ascii="Times New Roman" w:hAnsi="Times New Roman"/>
          <w:sz w:val="20"/>
          <w:szCs w:val="20"/>
          <w:lang w:val="it-IT"/>
        </w:rPr>
        <w:t xml:space="preserve">I dati utilizzati nella presente analisi includono numerosi studi e stime di elasticità del reddito. I documenti sono stati raccolti mediante motori di ricerca quali </w:t>
      </w:r>
      <w:r w:rsidR="00E364A3" w:rsidRPr="001C42CA">
        <w:rPr>
          <w:rFonts w:ascii="Times New Roman" w:hAnsi="Times New Roman"/>
          <w:i/>
          <w:sz w:val="20"/>
          <w:szCs w:val="20"/>
          <w:lang w:val="it-IT"/>
        </w:rPr>
        <w:t>Web of Science</w:t>
      </w:r>
      <w:r>
        <w:rPr>
          <w:rFonts w:ascii="Times New Roman" w:hAnsi="Times New Roman"/>
          <w:sz w:val="20"/>
          <w:szCs w:val="20"/>
          <w:lang w:val="it-IT"/>
        </w:rPr>
        <w:t xml:space="preserve">, </w:t>
      </w:r>
      <w:r w:rsidR="00E364A3" w:rsidRPr="001C42CA">
        <w:rPr>
          <w:rFonts w:ascii="Times New Roman" w:hAnsi="Times New Roman"/>
          <w:i/>
          <w:sz w:val="20"/>
          <w:szCs w:val="20"/>
          <w:lang w:val="it-IT"/>
        </w:rPr>
        <w:t>Scopus</w:t>
      </w:r>
      <w:r>
        <w:rPr>
          <w:rFonts w:ascii="Times New Roman" w:hAnsi="Times New Roman"/>
          <w:sz w:val="20"/>
          <w:szCs w:val="20"/>
          <w:lang w:val="it-IT"/>
        </w:rPr>
        <w:t xml:space="preserve">, e </w:t>
      </w:r>
      <w:r w:rsidR="00E364A3" w:rsidRPr="001C42CA">
        <w:rPr>
          <w:rFonts w:ascii="Times New Roman" w:hAnsi="Times New Roman"/>
          <w:i/>
          <w:sz w:val="20"/>
          <w:szCs w:val="20"/>
          <w:lang w:val="it-IT"/>
        </w:rPr>
        <w:t>Google</w:t>
      </w:r>
      <w:r>
        <w:rPr>
          <w:rFonts w:ascii="Times New Roman" w:hAnsi="Times New Roman"/>
          <w:sz w:val="20"/>
          <w:szCs w:val="20"/>
          <w:lang w:val="it-IT"/>
        </w:rPr>
        <w:t xml:space="preserve"> </w:t>
      </w:r>
      <w:r w:rsidR="00E364A3" w:rsidRPr="001C42CA">
        <w:rPr>
          <w:rFonts w:ascii="Times New Roman" w:hAnsi="Times New Roman"/>
          <w:i/>
          <w:sz w:val="20"/>
          <w:szCs w:val="20"/>
          <w:lang w:val="it-IT"/>
        </w:rPr>
        <w:t>Scholar</w:t>
      </w:r>
      <w:r>
        <w:rPr>
          <w:rFonts w:ascii="Times New Roman" w:hAnsi="Times New Roman"/>
          <w:sz w:val="20"/>
          <w:szCs w:val="20"/>
          <w:lang w:val="it-IT"/>
        </w:rPr>
        <w:t xml:space="preserve">. Includendo </w:t>
      </w:r>
      <w:r w:rsidR="00E364A3" w:rsidRPr="001C42CA">
        <w:rPr>
          <w:rFonts w:ascii="Times New Roman" w:hAnsi="Times New Roman"/>
          <w:i/>
          <w:sz w:val="20"/>
          <w:szCs w:val="20"/>
          <w:lang w:val="it-IT"/>
        </w:rPr>
        <w:t>Google</w:t>
      </w:r>
      <w:r>
        <w:rPr>
          <w:rFonts w:ascii="Times New Roman" w:hAnsi="Times New Roman"/>
          <w:sz w:val="20"/>
          <w:szCs w:val="20"/>
          <w:lang w:val="it-IT"/>
        </w:rPr>
        <w:t xml:space="preserve"> </w:t>
      </w:r>
      <w:r w:rsidR="00E364A3" w:rsidRPr="001C42CA">
        <w:rPr>
          <w:rFonts w:ascii="Times New Roman" w:hAnsi="Times New Roman"/>
          <w:i/>
          <w:sz w:val="20"/>
          <w:szCs w:val="20"/>
          <w:lang w:val="it-IT"/>
        </w:rPr>
        <w:t>Scholar</w:t>
      </w:r>
      <w:r>
        <w:rPr>
          <w:rFonts w:ascii="Times New Roman" w:hAnsi="Times New Roman"/>
          <w:sz w:val="20"/>
          <w:szCs w:val="20"/>
          <w:lang w:val="it-IT"/>
        </w:rPr>
        <w:t xml:space="preserve"> </w:t>
      </w:r>
      <w:r w:rsidR="00422A95">
        <w:rPr>
          <w:rFonts w:ascii="Times New Roman" w:hAnsi="Times New Roman"/>
          <w:sz w:val="20"/>
          <w:szCs w:val="20"/>
          <w:lang w:val="it-IT"/>
        </w:rPr>
        <w:t xml:space="preserve">ho considerato </w:t>
      </w:r>
      <w:r>
        <w:rPr>
          <w:rFonts w:ascii="Times New Roman" w:hAnsi="Times New Roman"/>
          <w:sz w:val="20"/>
          <w:szCs w:val="20"/>
          <w:lang w:val="it-IT"/>
        </w:rPr>
        <w:t xml:space="preserve">la letteratura “grigia” (giornali e documenti di discussione di lavoro) così da poter stimare l'eventuale </w:t>
      </w:r>
      <w:r w:rsidR="00E364A3" w:rsidRPr="001C42CA">
        <w:rPr>
          <w:rFonts w:ascii="Times New Roman" w:hAnsi="Times New Roman"/>
          <w:i/>
          <w:sz w:val="20"/>
          <w:szCs w:val="20"/>
          <w:lang w:val="it-IT"/>
        </w:rPr>
        <w:t>bias</w:t>
      </w:r>
      <w:r>
        <w:rPr>
          <w:rFonts w:ascii="Times New Roman" w:hAnsi="Times New Roman"/>
          <w:sz w:val="20"/>
          <w:szCs w:val="20"/>
          <w:lang w:val="it-IT"/>
        </w:rPr>
        <w:t xml:space="preserve"> nelle stime fornite da lavori pubblicati, e gli effetti di fattori quali il prestigio </w:t>
      </w:r>
      <w:r w:rsidR="005C36D8">
        <w:rPr>
          <w:rFonts w:ascii="Times New Roman" w:hAnsi="Times New Roman"/>
          <w:sz w:val="20"/>
          <w:szCs w:val="20"/>
          <w:lang w:val="it-IT"/>
        </w:rPr>
        <w:t xml:space="preserve">della </w:t>
      </w:r>
      <w:r>
        <w:rPr>
          <w:rFonts w:ascii="Times New Roman" w:hAnsi="Times New Roman"/>
          <w:sz w:val="20"/>
          <w:szCs w:val="20"/>
          <w:lang w:val="it-IT"/>
        </w:rPr>
        <w:t xml:space="preserve">rivista, o </w:t>
      </w:r>
      <w:r w:rsidR="005C36D8">
        <w:rPr>
          <w:rFonts w:ascii="Times New Roman" w:hAnsi="Times New Roman"/>
          <w:sz w:val="20"/>
          <w:szCs w:val="20"/>
          <w:lang w:val="it-IT"/>
        </w:rPr>
        <w:t xml:space="preserve">il suo </w:t>
      </w:r>
      <w:r w:rsidR="00E364A3" w:rsidRPr="001C42CA">
        <w:rPr>
          <w:rFonts w:ascii="Times New Roman" w:hAnsi="Times New Roman"/>
          <w:i/>
          <w:sz w:val="20"/>
          <w:szCs w:val="20"/>
          <w:lang w:val="it-IT"/>
        </w:rPr>
        <w:t>impact factor</w:t>
      </w:r>
      <w:r>
        <w:rPr>
          <w:rFonts w:ascii="Times New Roman" w:hAnsi="Times New Roman"/>
          <w:sz w:val="20"/>
          <w:szCs w:val="20"/>
          <w:lang w:val="it-IT"/>
        </w:rPr>
        <w:t xml:space="preserve">. Tutti gli studi selezionati contengono informazioni sulla dimensione campionaria, sull'elasticità al reddito, sugli errori standard (o </w:t>
      </w:r>
      <w:r w:rsidR="00E364A3" w:rsidRPr="001C42CA">
        <w:rPr>
          <w:rFonts w:ascii="Times New Roman" w:hAnsi="Times New Roman"/>
          <w:i/>
          <w:sz w:val="20"/>
          <w:szCs w:val="20"/>
          <w:lang w:val="it-IT"/>
        </w:rPr>
        <w:t>t-values</w:t>
      </w:r>
      <w:r>
        <w:rPr>
          <w:rFonts w:ascii="Times New Roman" w:hAnsi="Times New Roman"/>
          <w:sz w:val="20"/>
          <w:szCs w:val="20"/>
          <w:lang w:val="it-IT"/>
        </w:rPr>
        <w:t xml:space="preserve">). In totale lo studio include più </w:t>
      </w:r>
      <w:r w:rsidR="00054287">
        <w:rPr>
          <w:rFonts w:ascii="Times New Roman" w:hAnsi="Times New Roman"/>
          <w:sz w:val="20"/>
          <w:szCs w:val="20"/>
          <w:lang w:val="it-IT"/>
        </w:rPr>
        <w:t>di 100 osservazioni (tabella 1), ovvero oltre un centinaio di elasticita’ al consumo di calorie o micronutrienti.</w:t>
      </w:r>
    </w:p>
    <w:p w:rsidR="00054287" w:rsidRDefault="00054287">
      <w:pPr>
        <w:pStyle w:val="ListParagraph"/>
        <w:spacing w:after="0" w:line="360" w:lineRule="auto"/>
        <w:ind w:left="0"/>
        <w:jc w:val="both"/>
        <w:rPr>
          <w:rFonts w:ascii="Times New Roman" w:hAnsi="Times New Roman"/>
          <w:sz w:val="20"/>
          <w:szCs w:val="20"/>
          <w:lang w:val="it-IT"/>
        </w:rPr>
      </w:pPr>
    </w:p>
    <w:p w:rsidR="001E2806" w:rsidRDefault="00515A19">
      <w:pPr>
        <w:pStyle w:val="Testopreformattato"/>
        <w:spacing w:line="360" w:lineRule="auto"/>
        <w:jc w:val="both"/>
        <w:rPr>
          <w:rFonts w:ascii="Times New Roman" w:hAnsi="Times New Roman"/>
          <w:i/>
          <w:lang w:val="en-GB"/>
        </w:rPr>
      </w:pPr>
      <w:r>
        <w:rPr>
          <w:rFonts w:ascii="Times New Roman" w:hAnsi="Times New Roman"/>
        </w:rPr>
        <w:lastRenderedPageBreak/>
        <w:t>L'elasticità al reddito di ferro, zinco e vitamina A è stata aggregata per motivi statistici ed epistemologic</w:t>
      </w:r>
      <w:r w:rsidR="005C36D8">
        <w:rPr>
          <w:rFonts w:ascii="Times New Roman" w:hAnsi="Times New Roman"/>
        </w:rPr>
        <w:t>i</w:t>
      </w:r>
      <w:r>
        <w:rPr>
          <w:rStyle w:val="Richiamoallanotaapidipagina"/>
          <w:rFonts w:ascii="Times New Roman" w:hAnsi="Times New Roman"/>
        </w:rPr>
        <w:footnoteReference w:id="1"/>
      </w:r>
      <w:r>
        <w:rPr>
          <w:rFonts w:ascii="Times New Roman" w:hAnsi="Times New Roman"/>
        </w:rPr>
        <w:t>. Un risultato preliminare della meta-analisi, e difatti un</w:t>
      </w:r>
      <w:r w:rsidR="005C36D8">
        <w:rPr>
          <w:rFonts w:ascii="Times New Roman" w:hAnsi="Times New Roman"/>
        </w:rPr>
        <w:t xml:space="preserve"> passaggio</w:t>
      </w:r>
      <w:r>
        <w:rPr>
          <w:rFonts w:ascii="Times New Roman" w:hAnsi="Times New Roman"/>
        </w:rPr>
        <w:t xml:space="preserve"> molto importante, consiste nell'identificare l'esistenza di </w:t>
      </w:r>
      <w:r w:rsidR="00E364A3" w:rsidRPr="001C42CA">
        <w:rPr>
          <w:rFonts w:ascii="Times New Roman" w:hAnsi="Times New Roman"/>
          <w:i/>
        </w:rPr>
        <w:t>bias</w:t>
      </w:r>
      <w:r>
        <w:rPr>
          <w:rFonts w:ascii="Times New Roman" w:hAnsi="Times New Roman"/>
        </w:rPr>
        <w:t xml:space="preserve"> di pubblicazione</w:t>
      </w:r>
      <w:r w:rsidR="001C42CA">
        <w:rPr>
          <w:rFonts w:ascii="Times New Roman" w:hAnsi="Times New Roman"/>
        </w:rPr>
        <w:t xml:space="preserve"> (ovvero dei risultati imprecisi)</w:t>
      </w:r>
      <w:r>
        <w:rPr>
          <w:rFonts w:ascii="Times New Roman" w:hAnsi="Times New Roman"/>
        </w:rPr>
        <w:t xml:space="preserve">. Il </w:t>
      </w:r>
      <w:r w:rsidR="00E364A3" w:rsidRPr="001C42CA">
        <w:rPr>
          <w:rFonts w:ascii="Times New Roman" w:hAnsi="Times New Roman"/>
          <w:i/>
        </w:rPr>
        <w:t>bias</w:t>
      </w:r>
      <w:r>
        <w:rPr>
          <w:rFonts w:ascii="Times New Roman" w:hAnsi="Times New Roman"/>
        </w:rPr>
        <w:t xml:space="preserve"> di pubblicazione può essere generato da diversi fattori: la preferenza di autori, revisori e redattori per risultati statisticamente significativi a danno di studi che riportano stime insignificanti (Stanley, 2005). Dunque i risultati statisticamente non significativi trovano generalmente collocazione in riviste meno prestigiose. Egger </w:t>
      </w:r>
      <w:r w:rsidR="00E364A3" w:rsidRPr="001C42CA">
        <w:rPr>
          <w:rFonts w:ascii="Times New Roman" w:hAnsi="Times New Roman"/>
          <w:i/>
        </w:rPr>
        <w:t>et al</w:t>
      </w:r>
      <w:r w:rsidR="005C36D8">
        <w:rPr>
          <w:rFonts w:ascii="Times New Roman" w:hAnsi="Times New Roman"/>
          <w:i/>
        </w:rPr>
        <w:t>.</w:t>
      </w:r>
      <w:r w:rsidR="00E364A3" w:rsidRPr="001C42CA">
        <w:rPr>
          <w:rFonts w:ascii="Times New Roman" w:hAnsi="Times New Roman"/>
          <w:i/>
        </w:rPr>
        <w:t xml:space="preserve"> </w:t>
      </w:r>
      <w:r>
        <w:rPr>
          <w:rFonts w:ascii="Times New Roman" w:hAnsi="Times New Roman"/>
        </w:rPr>
        <w:t xml:space="preserve">(1997) hanno suggerito di applicare il </w:t>
      </w:r>
      <w:r w:rsidR="005C36D8" w:rsidRPr="005C36D8">
        <w:rPr>
          <w:rFonts w:ascii="Times New Roman" w:hAnsi="Times New Roman"/>
          <w:i/>
        </w:rPr>
        <w:t xml:space="preserve">Funnel </w:t>
      </w:r>
      <w:r w:rsidR="00E364A3" w:rsidRPr="001C42CA">
        <w:rPr>
          <w:rFonts w:ascii="Times New Roman" w:hAnsi="Times New Roman"/>
          <w:i/>
        </w:rPr>
        <w:t>asymmetry test</w:t>
      </w:r>
      <w:r w:rsidR="00E364A3" w:rsidRPr="001C42CA">
        <w:rPr>
          <w:rFonts w:ascii="Times New Roman" w:hAnsi="Times New Roman"/>
        </w:rPr>
        <w:t xml:space="preserve"> (FAT)</w:t>
      </w:r>
      <w:r w:rsidR="00422A95">
        <w:rPr>
          <w:rFonts w:ascii="Times New Roman" w:hAnsi="Times New Roman"/>
        </w:rPr>
        <w:t>, ovvero una verifica della relazione fra magnitudine e precisione del risultato,</w:t>
      </w:r>
      <w:r>
        <w:rPr>
          <w:rFonts w:ascii="Times New Roman" w:hAnsi="Times New Roman"/>
        </w:rPr>
        <w:t xml:space="preserve"> per la </w:t>
      </w:r>
      <w:r w:rsidR="00E364A3" w:rsidRPr="001C42CA">
        <w:rPr>
          <w:rFonts w:ascii="Times New Roman" w:hAnsi="Times New Roman"/>
          <w:i/>
        </w:rPr>
        <w:t>meta-regression analysis</w:t>
      </w:r>
      <w:r>
        <w:rPr>
          <w:rFonts w:ascii="Times New Roman" w:hAnsi="Times New Roman"/>
        </w:rPr>
        <w:t xml:space="preserve"> (MRA). Il FAT-MRA consiste nel regredire il coefficiente di interesse (ad esempio l'elasticità al reddito) sulla misura della precisione delle stime (ad esempio la deviazione standard delle stime) e controllando per altre covariate. Nel presente lavoro è stato utilizzato il metodo di regressione lineare per spiegare l'eterogeneità delle stime dell'elasticità al reddito e verificare la presenza di </w:t>
      </w:r>
      <w:r w:rsidR="00E364A3" w:rsidRPr="001C42CA">
        <w:rPr>
          <w:rFonts w:ascii="Times New Roman" w:hAnsi="Times New Roman"/>
          <w:i/>
        </w:rPr>
        <w:t>bias</w:t>
      </w:r>
      <w:r>
        <w:rPr>
          <w:rFonts w:ascii="Times New Roman" w:hAnsi="Times New Roman"/>
        </w:rPr>
        <w:t xml:space="preserve"> di pubblicazione. Seguendo Stanley (2005) </w:t>
      </w:r>
      <w:r w:rsidR="005C36D8">
        <w:rPr>
          <w:rFonts w:ascii="Times New Roman" w:hAnsi="Times New Roman"/>
        </w:rPr>
        <w:t>gli errori standard sono</w:t>
      </w:r>
      <w:r>
        <w:rPr>
          <w:rFonts w:ascii="Times New Roman" w:hAnsi="Times New Roman"/>
        </w:rPr>
        <w:t xml:space="preserve"> stat</w:t>
      </w:r>
      <w:r w:rsidR="005C36D8">
        <w:rPr>
          <w:rFonts w:ascii="Times New Roman" w:hAnsi="Times New Roman"/>
        </w:rPr>
        <w:t>i</w:t>
      </w:r>
      <w:r>
        <w:rPr>
          <w:rFonts w:ascii="Times New Roman" w:hAnsi="Times New Roman"/>
        </w:rPr>
        <w:t xml:space="preserve"> adottat</w:t>
      </w:r>
      <w:r w:rsidR="005C36D8">
        <w:rPr>
          <w:rFonts w:ascii="Times New Roman" w:hAnsi="Times New Roman"/>
        </w:rPr>
        <w:t>i</w:t>
      </w:r>
      <w:r>
        <w:rPr>
          <w:rFonts w:ascii="Times New Roman" w:hAnsi="Times New Roman"/>
        </w:rPr>
        <w:t xml:space="preserve"> qual</w:t>
      </w:r>
      <w:r w:rsidR="005C36D8">
        <w:rPr>
          <w:rFonts w:ascii="Times New Roman" w:hAnsi="Times New Roman"/>
        </w:rPr>
        <w:t>i</w:t>
      </w:r>
      <w:r>
        <w:rPr>
          <w:rFonts w:ascii="Times New Roman" w:hAnsi="Times New Roman"/>
        </w:rPr>
        <w:t xml:space="preserve"> misur</w:t>
      </w:r>
      <w:r w:rsidR="005C36D8">
        <w:rPr>
          <w:rFonts w:ascii="Times New Roman" w:hAnsi="Times New Roman"/>
        </w:rPr>
        <w:t>e</w:t>
      </w:r>
      <w:r>
        <w:rPr>
          <w:rFonts w:ascii="Times New Roman" w:hAnsi="Times New Roman"/>
        </w:rPr>
        <w:t xml:space="preserve"> della dispersione delle stime. Un limite del metodo sopra presentato è la possibile eteroschedasticità delle stime. Nel presente lavoro tale limite è stato superato includendo </w:t>
      </w:r>
      <w:r w:rsidR="005C36D8">
        <w:rPr>
          <w:rFonts w:ascii="Times New Roman" w:hAnsi="Times New Roman"/>
        </w:rPr>
        <w:t xml:space="preserve">fra i regressori </w:t>
      </w:r>
      <w:r>
        <w:rPr>
          <w:rFonts w:ascii="Times New Roman" w:hAnsi="Times New Roman"/>
        </w:rPr>
        <w:t xml:space="preserve">il reciproco degli errori standard e dividendo sia la variabile dipendente sia i regressori per gli errori standard. Mediante la </w:t>
      </w:r>
      <w:r w:rsidR="00E364A3" w:rsidRPr="001C42CA">
        <w:rPr>
          <w:rFonts w:ascii="Times New Roman" w:hAnsi="Times New Roman"/>
          <w:i/>
        </w:rPr>
        <w:t>meta-regression analysis</w:t>
      </w:r>
      <w:r>
        <w:rPr>
          <w:rFonts w:ascii="Times New Roman" w:hAnsi="Times New Roman"/>
        </w:rPr>
        <w:t xml:space="preserve"> è stata spiegata l'eterogeneità dell'elasticità al reddito dei nutrienti</w:t>
      </w:r>
      <w:r>
        <w:rPr>
          <w:rStyle w:val="Richiamoallanotaapidipagina"/>
          <w:rFonts w:ascii="Times New Roman" w:hAnsi="Times New Roman"/>
        </w:rPr>
        <w:footnoteReference w:id="2"/>
      </w:r>
      <w:r>
        <w:rPr>
          <w:rFonts w:ascii="Times New Roman" w:hAnsi="Times New Roman"/>
        </w:rPr>
        <w:t xml:space="preserve">. Per spiegare l'eterogeneità delle stime di elasticità </w:t>
      </w:r>
      <w:r w:rsidR="005C36D8">
        <w:rPr>
          <w:rFonts w:ascii="Times New Roman" w:hAnsi="Times New Roman"/>
        </w:rPr>
        <w:t xml:space="preserve">al </w:t>
      </w:r>
      <w:r>
        <w:rPr>
          <w:rFonts w:ascii="Times New Roman" w:hAnsi="Times New Roman"/>
        </w:rPr>
        <w:t xml:space="preserve">reddito sono state considerate diverse variabili esplicative relative ai metodi di stima, al numero di osservazioni, alla collocazione editoriale ed al prestigio della rivista. </w:t>
      </w:r>
      <w:r w:rsidR="00E364A3" w:rsidRPr="001C42CA">
        <w:rPr>
          <w:rFonts w:ascii="Times New Roman" w:hAnsi="Times New Roman"/>
          <w:lang w:val="en-US"/>
        </w:rPr>
        <w:t xml:space="preserve">L'insieme di regressori (tabella 2) include le variabili </w:t>
      </w:r>
      <w:r>
        <w:rPr>
          <w:rFonts w:ascii="Times New Roman" w:hAnsi="Times New Roman"/>
          <w:i/>
          <w:lang w:val="en-GB"/>
        </w:rPr>
        <w:t>“Income”, “Linear”, “Q-AIDS”,</w:t>
      </w:r>
      <w:r>
        <w:rPr>
          <w:rFonts w:ascii="Times New Roman" w:hAnsi="Times New Roman"/>
          <w:lang w:val="en-GB"/>
        </w:rPr>
        <w:t xml:space="preserve"> and </w:t>
      </w:r>
      <w:r>
        <w:rPr>
          <w:rFonts w:ascii="Times New Roman" w:hAnsi="Times New Roman"/>
          <w:i/>
          <w:lang w:val="en-GB"/>
        </w:rPr>
        <w:t>“Number of Years”</w:t>
      </w:r>
      <w:r>
        <w:rPr>
          <w:rFonts w:ascii="Times New Roman" w:hAnsi="Times New Roman"/>
          <w:lang w:val="en-GB"/>
        </w:rPr>
        <w:t xml:space="preserve">, </w:t>
      </w:r>
      <w:r>
        <w:rPr>
          <w:rFonts w:ascii="Times New Roman" w:hAnsi="Times New Roman"/>
          <w:i/>
          <w:lang w:val="en-GB"/>
        </w:rPr>
        <w:t>“Panel”, “Weekly”, “Monthly”, “Rural”, “Africa”, “Asia”, “South America”, “</w:t>
      </w:r>
      <w:r>
        <w:rPr>
          <w:rFonts w:ascii="Times New Roman" w:hAnsi="Times New Roman" w:cs="Times New Roman"/>
          <w:i/>
          <w:lang w:val="en-GB"/>
        </w:rPr>
        <w:t>Unpublished Paper</w:t>
      </w:r>
      <w:r>
        <w:rPr>
          <w:rFonts w:ascii="Times New Roman" w:hAnsi="Times New Roman"/>
          <w:i/>
          <w:lang w:val="en-GB"/>
        </w:rPr>
        <w:t xml:space="preserve">”, </w:t>
      </w:r>
      <w:r>
        <w:rPr>
          <w:rFonts w:ascii="Times New Roman" w:hAnsi="Times New Roman"/>
          <w:lang w:val="en-GB"/>
        </w:rPr>
        <w:t>and</w:t>
      </w:r>
      <w:r>
        <w:rPr>
          <w:rFonts w:ascii="Times New Roman" w:hAnsi="Times New Roman"/>
          <w:i/>
          <w:lang w:val="en-GB"/>
        </w:rPr>
        <w:t xml:space="preserve"> “Impact Factor”</w:t>
      </w:r>
      <w:r w:rsidR="00A2009B" w:rsidRPr="00A2009B">
        <w:rPr>
          <w:rFonts w:ascii="Times New Roman" w:hAnsi="Times New Roman"/>
          <w:lang w:val="en-GB"/>
        </w:rPr>
        <w:t>: le prime tre variabili si riferiscono al tipo di modello econometrico utilizzato nei lavori scientifici; la variabile “</w:t>
      </w:r>
      <w:r w:rsidR="00A2009B" w:rsidRPr="00A2009B">
        <w:rPr>
          <w:rFonts w:ascii="Times New Roman" w:hAnsi="Times New Roman"/>
          <w:i/>
          <w:lang w:val="en-GB"/>
        </w:rPr>
        <w:t>Number of Years</w:t>
      </w:r>
      <w:r w:rsidR="00A2009B" w:rsidRPr="00A2009B">
        <w:rPr>
          <w:rFonts w:ascii="Times New Roman" w:hAnsi="Times New Roman"/>
          <w:lang w:val="en-GB"/>
        </w:rPr>
        <w:t>” si riferisce al numero di anni considerati nelle analisi scientifiche; la variaible “</w:t>
      </w:r>
      <w:r w:rsidR="00A2009B" w:rsidRPr="00A2009B">
        <w:rPr>
          <w:rFonts w:ascii="Times New Roman" w:hAnsi="Times New Roman"/>
          <w:i/>
          <w:lang w:val="en-GB"/>
        </w:rPr>
        <w:t>Panel</w:t>
      </w:r>
      <w:r w:rsidR="00A2009B" w:rsidRPr="00A2009B">
        <w:rPr>
          <w:rFonts w:ascii="Times New Roman" w:hAnsi="Times New Roman"/>
          <w:lang w:val="en-GB"/>
        </w:rPr>
        <w:t>” si riferisce all’utilizzo di dati raccolti per diversi anni; le variab</w:t>
      </w:r>
      <w:r w:rsidR="00BE1CF6">
        <w:rPr>
          <w:rFonts w:ascii="Times New Roman" w:hAnsi="Times New Roman"/>
          <w:lang w:val="en-GB"/>
        </w:rPr>
        <w:t>i</w:t>
      </w:r>
      <w:r w:rsidR="00A2009B" w:rsidRPr="00A2009B">
        <w:rPr>
          <w:rFonts w:ascii="Times New Roman" w:hAnsi="Times New Roman"/>
          <w:lang w:val="en-GB"/>
        </w:rPr>
        <w:t>li “</w:t>
      </w:r>
      <w:r w:rsidR="00A2009B" w:rsidRPr="00A2009B">
        <w:rPr>
          <w:rFonts w:ascii="Times New Roman" w:hAnsi="Times New Roman"/>
          <w:i/>
          <w:lang w:val="en-GB"/>
        </w:rPr>
        <w:t>Weekly</w:t>
      </w:r>
      <w:r w:rsidR="00A2009B" w:rsidRPr="00A2009B">
        <w:rPr>
          <w:rFonts w:ascii="Times New Roman" w:hAnsi="Times New Roman"/>
          <w:lang w:val="en-GB"/>
        </w:rPr>
        <w:t>” e</w:t>
      </w:r>
      <w:r w:rsidR="00A2009B" w:rsidRPr="00A2009B">
        <w:rPr>
          <w:rFonts w:ascii="Times New Roman" w:hAnsi="Times New Roman"/>
          <w:lang w:val="en-GB"/>
        </w:rPr>
        <w:t xml:space="preserve"> “</w:t>
      </w:r>
      <w:r w:rsidR="00A2009B" w:rsidRPr="00A2009B">
        <w:rPr>
          <w:rFonts w:ascii="Times New Roman" w:hAnsi="Times New Roman"/>
          <w:i/>
          <w:lang w:val="en-GB"/>
        </w:rPr>
        <w:t>Monthly</w:t>
      </w:r>
      <w:r w:rsidR="00A2009B" w:rsidRPr="00A2009B">
        <w:rPr>
          <w:rFonts w:ascii="Times New Roman" w:hAnsi="Times New Roman"/>
          <w:lang w:val="en-GB"/>
        </w:rPr>
        <w:t>”</w:t>
      </w:r>
      <w:r w:rsidR="00A2009B" w:rsidRPr="00A2009B">
        <w:rPr>
          <w:rFonts w:ascii="Times New Roman" w:hAnsi="Times New Roman"/>
          <w:lang w:val="en-GB"/>
        </w:rPr>
        <w:t xml:space="preserve"> fanno riferimento alla frequenza dei dati; </w:t>
      </w:r>
      <w:r w:rsidR="00A2009B" w:rsidRPr="00A2009B">
        <w:rPr>
          <w:rFonts w:ascii="Times New Roman" w:hAnsi="Times New Roman"/>
          <w:lang w:val="en-GB"/>
        </w:rPr>
        <w:t>“Rural”</w:t>
      </w:r>
      <w:r w:rsidR="00A2009B" w:rsidRPr="00A2009B">
        <w:rPr>
          <w:rFonts w:ascii="Times New Roman" w:hAnsi="Times New Roman"/>
          <w:lang w:val="en-GB"/>
        </w:rPr>
        <w:t xml:space="preserve"> assume valore pari ad uno se l’analisi e’ stata condotta su dati relative alla popolazione rurale; </w:t>
      </w:r>
      <w:r w:rsidR="00A2009B" w:rsidRPr="00A2009B">
        <w:rPr>
          <w:rFonts w:ascii="Times New Roman" w:hAnsi="Times New Roman"/>
          <w:lang w:val="en-GB"/>
        </w:rPr>
        <w:t>“</w:t>
      </w:r>
      <w:r w:rsidR="00A2009B" w:rsidRPr="00A2009B">
        <w:rPr>
          <w:rFonts w:ascii="Times New Roman" w:hAnsi="Times New Roman"/>
          <w:i/>
          <w:lang w:val="en-GB"/>
        </w:rPr>
        <w:t>Africa</w:t>
      </w:r>
      <w:r w:rsidR="00A2009B" w:rsidRPr="00A2009B">
        <w:rPr>
          <w:rFonts w:ascii="Times New Roman" w:hAnsi="Times New Roman"/>
          <w:lang w:val="en-GB"/>
        </w:rPr>
        <w:t>”, “</w:t>
      </w:r>
      <w:r w:rsidR="00A2009B" w:rsidRPr="00A2009B">
        <w:rPr>
          <w:rFonts w:ascii="Times New Roman" w:hAnsi="Times New Roman"/>
          <w:i/>
          <w:lang w:val="en-GB"/>
        </w:rPr>
        <w:t>Asia</w:t>
      </w:r>
      <w:r w:rsidR="00A2009B" w:rsidRPr="00A2009B">
        <w:rPr>
          <w:rFonts w:ascii="Times New Roman" w:hAnsi="Times New Roman"/>
          <w:lang w:val="en-GB"/>
        </w:rPr>
        <w:t>”</w:t>
      </w:r>
      <w:r w:rsidR="00A2009B" w:rsidRPr="00A2009B">
        <w:rPr>
          <w:rFonts w:ascii="Times New Roman" w:hAnsi="Times New Roman"/>
          <w:lang w:val="en-GB"/>
        </w:rPr>
        <w:t xml:space="preserve"> e</w:t>
      </w:r>
      <w:r w:rsidR="00A2009B" w:rsidRPr="00A2009B">
        <w:rPr>
          <w:rFonts w:ascii="Times New Roman" w:hAnsi="Times New Roman"/>
          <w:lang w:val="en-GB"/>
        </w:rPr>
        <w:t xml:space="preserve"> “</w:t>
      </w:r>
      <w:r w:rsidR="00A2009B" w:rsidRPr="00A2009B">
        <w:rPr>
          <w:rFonts w:ascii="Times New Roman" w:hAnsi="Times New Roman"/>
          <w:i/>
          <w:lang w:val="en-GB"/>
        </w:rPr>
        <w:t>South America</w:t>
      </w:r>
      <w:r w:rsidR="00A2009B" w:rsidRPr="00A2009B">
        <w:rPr>
          <w:rFonts w:ascii="Times New Roman" w:hAnsi="Times New Roman"/>
          <w:lang w:val="en-GB"/>
        </w:rPr>
        <w:t>”</w:t>
      </w:r>
      <w:r w:rsidR="00A2009B" w:rsidRPr="00A2009B">
        <w:rPr>
          <w:rFonts w:ascii="Times New Roman" w:hAnsi="Times New Roman"/>
          <w:lang w:val="en-GB"/>
        </w:rPr>
        <w:t xml:space="preserve"> indicano la regione cui si riferiscono i dati; </w:t>
      </w:r>
      <w:r w:rsidR="00A2009B" w:rsidRPr="00A2009B">
        <w:rPr>
          <w:rFonts w:ascii="Times New Roman" w:hAnsi="Times New Roman"/>
          <w:lang w:val="en-GB"/>
        </w:rPr>
        <w:t>“</w:t>
      </w:r>
      <w:r w:rsidR="00A2009B" w:rsidRPr="00A2009B">
        <w:rPr>
          <w:rFonts w:ascii="Times New Roman" w:hAnsi="Times New Roman" w:cs="Times New Roman"/>
          <w:i/>
          <w:lang w:val="en-GB"/>
        </w:rPr>
        <w:t>Unpublished Paper</w:t>
      </w:r>
      <w:r w:rsidR="00A2009B" w:rsidRPr="00A2009B">
        <w:rPr>
          <w:rFonts w:ascii="Times New Roman" w:hAnsi="Times New Roman"/>
          <w:lang w:val="en-GB"/>
        </w:rPr>
        <w:t>”</w:t>
      </w:r>
      <w:r w:rsidR="00A2009B" w:rsidRPr="00A2009B">
        <w:rPr>
          <w:rFonts w:ascii="Times New Roman" w:hAnsi="Times New Roman"/>
          <w:lang w:val="en-GB"/>
        </w:rPr>
        <w:t xml:space="preserve"> </w:t>
      </w:r>
      <w:r w:rsidR="00A2009B" w:rsidRPr="00A2009B">
        <w:rPr>
          <w:rFonts w:ascii="Times New Roman" w:hAnsi="Times New Roman"/>
          <w:lang w:val="en-GB"/>
        </w:rPr>
        <w:t xml:space="preserve">e </w:t>
      </w:r>
      <w:r w:rsidR="00A2009B" w:rsidRPr="00A2009B">
        <w:rPr>
          <w:rFonts w:ascii="Times New Roman" w:hAnsi="Times New Roman"/>
          <w:lang w:val="en-GB"/>
        </w:rPr>
        <w:t>“</w:t>
      </w:r>
      <w:r w:rsidR="00A2009B" w:rsidRPr="00A2009B">
        <w:rPr>
          <w:rFonts w:ascii="Times New Roman" w:hAnsi="Times New Roman"/>
          <w:i/>
          <w:lang w:val="en-GB"/>
        </w:rPr>
        <w:t>Impact Factor</w:t>
      </w:r>
      <w:r w:rsidR="00A2009B" w:rsidRPr="00A2009B">
        <w:rPr>
          <w:rFonts w:ascii="Times New Roman" w:hAnsi="Times New Roman"/>
          <w:lang w:val="en-GB"/>
        </w:rPr>
        <w:t>”</w:t>
      </w:r>
      <w:r w:rsidR="00A2009B" w:rsidRPr="00A2009B">
        <w:rPr>
          <w:rFonts w:ascii="Times New Roman" w:hAnsi="Times New Roman"/>
          <w:lang w:val="en-GB"/>
        </w:rPr>
        <w:t xml:space="preserve"> indicano, rispettivamente, se il l</w:t>
      </w:r>
      <w:r w:rsidR="00BE1CF6">
        <w:rPr>
          <w:rFonts w:ascii="Times New Roman" w:hAnsi="Times New Roman"/>
          <w:lang w:val="en-GB"/>
        </w:rPr>
        <w:t>a</w:t>
      </w:r>
      <w:r w:rsidR="00A2009B" w:rsidRPr="00A2009B">
        <w:rPr>
          <w:rFonts w:ascii="Times New Roman" w:hAnsi="Times New Roman"/>
          <w:lang w:val="en-GB"/>
        </w:rPr>
        <w:t xml:space="preserve">voro scientifico non e’ stato pubblicato, ovvero se e’ stato pubblicato su rivista con </w:t>
      </w:r>
      <w:r w:rsidR="00A2009B" w:rsidRPr="00A2009B">
        <w:rPr>
          <w:rFonts w:ascii="Times New Roman" w:hAnsi="Times New Roman"/>
          <w:i/>
          <w:lang w:val="en-GB"/>
        </w:rPr>
        <w:t>impact factor</w:t>
      </w:r>
      <w:r w:rsidR="00A2009B">
        <w:rPr>
          <w:rFonts w:ascii="Times New Roman" w:hAnsi="Times New Roman"/>
          <w:i/>
          <w:lang w:val="en-GB"/>
        </w:rPr>
        <w:t xml:space="preserve">. </w:t>
      </w:r>
    </w:p>
    <w:p w:rsidR="001E2806" w:rsidRDefault="001E2806">
      <w:pPr>
        <w:pStyle w:val="Testopreformattato"/>
        <w:spacing w:line="360" w:lineRule="auto"/>
        <w:jc w:val="both"/>
        <w:rPr>
          <w:rFonts w:ascii="Times New Roman" w:hAnsi="Times New Roman"/>
          <w:lang w:val="en-US"/>
        </w:rPr>
      </w:pPr>
    </w:p>
    <w:p w:rsidR="00E70B89" w:rsidRDefault="00E70B89">
      <w:pPr>
        <w:pStyle w:val="Testopreformattato"/>
        <w:spacing w:line="360" w:lineRule="auto"/>
        <w:jc w:val="both"/>
        <w:rPr>
          <w:rFonts w:ascii="Times New Roman" w:hAnsi="Times New Roman"/>
          <w:lang w:val="en-US"/>
        </w:rPr>
      </w:pPr>
    </w:p>
    <w:p w:rsidR="00E70B89" w:rsidRPr="001C42CA" w:rsidRDefault="00E70B89">
      <w:pPr>
        <w:pStyle w:val="Testopreformattato"/>
        <w:spacing w:line="360" w:lineRule="auto"/>
        <w:jc w:val="both"/>
        <w:rPr>
          <w:rFonts w:ascii="Times New Roman" w:hAnsi="Times New Roman"/>
          <w:lang w:val="en-US"/>
        </w:rPr>
      </w:pPr>
    </w:p>
    <w:p w:rsidR="001E2806" w:rsidRDefault="00515A19">
      <w:pPr>
        <w:pStyle w:val="ListParagraph"/>
        <w:numPr>
          <w:ilvl w:val="0"/>
          <w:numId w:val="2"/>
        </w:numPr>
        <w:spacing w:after="0" w:line="360" w:lineRule="auto"/>
        <w:jc w:val="both"/>
        <w:rPr>
          <w:rFonts w:ascii="Times New Roman" w:hAnsi="Times New Roman"/>
          <w:b/>
          <w:i/>
          <w:szCs w:val="20"/>
          <w:lang w:val="en-GB"/>
        </w:rPr>
      </w:pPr>
      <w:r>
        <w:rPr>
          <w:rFonts w:ascii="Times New Roman" w:hAnsi="Times New Roman"/>
          <w:b/>
          <w:i/>
          <w:szCs w:val="20"/>
          <w:lang w:val="en-GB"/>
        </w:rPr>
        <w:t xml:space="preserve">Risultati </w:t>
      </w:r>
    </w:p>
    <w:p w:rsidR="001E2806" w:rsidRDefault="001E2806">
      <w:pPr>
        <w:pStyle w:val="Testopreformattato"/>
        <w:spacing w:line="360" w:lineRule="auto"/>
        <w:jc w:val="both"/>
        <w:rPr>
          <w:rFonts w:ascii="Times New Roman" w:hAnsi="Times New Roman"/>
        </w:rPr>
      </w:pPr>
    </w:p>
    <w:p w:rsidR="001E2806" w:rsidRPr="00422A95" w:rsidRDefault="00E364A3">
      <w:pPr>
        <w:pStyle w:val="Testopreformattato"/>
        <w:spacing w:after="283" w:line="360" w:lineRule="auto"/>
        <w:jc w:val="both"/>
        <w:rPr>
          <w:rFonts w:ascii="Times New Roman" w:hAnsi="Times New Roman"/>
        </w:rPr>
      </w:pPr>
      <w:r w:rsidRPr="00422A95">
        <w:rPr>
          <w:rFonts w:ascii="Times New Roman" w:hAnsi="Times New Roman"/>
        </w:rPr>
        <w:t xml:space="preserve">Risultati preliminari </w:t>
      </w:r>
      <w:r w:rsidR="00422A95">
        <w:rPr>
          <w:rFonts w:ascii="Times New Roman" w:hAnsi="Times New Roman"/>
        </w:rPr>
        <w:t xml:space="preserve">(tabella 3) </w:t>
      </w:r>
      <w:r w:rsidRPr="00422A95">
        <w:rPr>
          <w:rFonts w:ascii="Times New Roman" w:hAnsi="Times New Roman"/>
        </w:rPr>
        <w:t xml:space="preserve">evidenziano un problema di </w:t>
      </w:r>
      <w:r w:rsidRPr="00422A95">
        <w:rPr>
          <w:rFonts w:ascii="Times New Roman" w:hAnsi="Times New Roman"/>
          <w:i/>
        </w:rPr>
        <w:t>bias</w:t>
      </w:r>
      <w:r w:rsidRPr="00422A95">
        <w:rPr>
          <w:rFonts w:ascii="Times New Roman" w:hAnsi="Times New Roman"/>
        </w:rPr>
        <w:t xml:space="preserve"> di pubblicazione. I risultati sono robusti all'eterogeneità in quanto </w:t>
      </w:r>
      <w:r w:rsidR="00422A95">
        <w:rPr>
          <w:rFonts w:ascii="Times New Roman" w:hAnsi="Times New Roman"/>
        </w:rPr>
        <w:t>ho normalizzato i</w:t>
      </w:r>
      <w:r w:rsidR="00422A95" w:rsidRPr="00422A95">
        <w:rPr>
          <w:rFonts w:ascii="Times New Roman" w:hAnsi="Times New Roman"/>
        </w:rPr>
        <w:t xml:space="preserve"> </w:t>
      </w:r>
      <w:r w:rsidRPr="00422A95">
        <w:rPr>
          <w:rFonts w:ascii="Times New Roman" w:hAnsi="Times New Roman"/>
        </w:rPr>
        <w:t xml:space="preserve">regressori rispetto agli errori standard. I risultati mostrano </w:t>
      </w:r>
      <w:r w:rsidRPr="00422A95">
        <w:rPr>
          <w:rFonts w:ascii="Times New Roman" w:hAnsi="Times New Roman"/>
          <w:i/>
        </w:rPr>
        <w:t>bias</w:t>
      </w:r>
      <w:r w:rsidRPr="00422A95">
        <w:rPr>
          <w:rFonts w:ascii="Times New Roman" w:hAnsi="Times New Roman"/>
        </w:rPr>
        <w:t xml:space="preserve"> per proteine ​​e grassi rispettivamente negativo e positivo. L'elasticità al reddito di calorie e micronutrienti è piuttosto stabile per fasce di reddito; risultato opposto è stato riscontrato per proteine ​​e grassi. </w:t>
      </w:r>
      <w:r w:rsidR="00515A19">
        <w:rPr>
          <w:rFonts w:ascii="Times New Roman" w:hAnsi="Times New Roman"/>
        </w:rPr>
        <w:t>L</w:t>
      </w:r>
      <w:r w:rsidR="00E70B89">
        <w:rPr>
          <w:rFonts w:ascii="Times New Roman" w:hAnsi="Times New Roman"/>
        </w:rPr>
        <w:t>a</w:t>
      </w:r>
      <w:r w:rsidR="00515A19">
        <w:rPr>
          <w:rFonts w:ascii="Times New Roman" w:hAnsi="Times New Roman"/>
        </w:rPr>
        <w:t xml:space="preserve"> tabell</w:t>
      </w:r>
      <w:r w:rsidR="00E70B89">
        <w:rPr>
          <w:rFonts w:ascii="Times New Roman" w:hAnsi="Times New Roman"/>
        </w:rPr>
        <w:t>a</w:t>
      </w:r>
      <w:r w:rsidR="00515A19">
        <w:rPr>
          <w:rFonts w:ascii="Times New Roman" w:hAnsi="Times New Roman"/>
        </w:rPr>
        <w:t xml:space="preserve"> 4 presenta ulteriori stime che rafforzano i risultati precedenti e ne mostrano di ulteriori: quando si adotta il reddito familiare, piuttosto che la spesa alimentare, per stimare l'elasticità al reddito per le calorie, si ottengono valori notevolmente inferiori; adottando un modello Q-AIDS i valori stimati di elasticità tendono ad essere più elevati. </w:t>
      </w:r>
      <w:r w:rsidRPr="00422A95">
        <w:rPr>
          <w:rFonts w:ascii="Times New Roman" w:hAnsi="Times New Roman"/>
        </w:rPr>
        <w:t xml:space="preserve">I risultati forniscono anche una spiegazione sul tipo di </w:t>
      </w:r>
      <w:r w:rsidRPr="00422A95">
        <w:rPr>
          <w:rFonts w:ascii="Times New Roman" w:hAnsi="Times New Roman"/>
          <w:i/>
        </w:rPr>
        <w:t>bias</w:t>
      </w:r>
      <w:r w:rsidRPr="00422A95">
        <w:rPr>
          <w:rFonts w:ascii="Times New Roman" w:hAnsi="Times New Roman"/>
        </w:rPr>
        <w:t xml:space="preserve"> di pubblicazione: l'elasticità al reddito riportata in articoli pubblicati su riviste è generalmente più bassa di quella riportata nei documenti di lavoro; l'elasticità è altresì inferiore per gli articoli pubblicati su riviste con </w:t>
      </w:r>
      <w:r w:rsidRPr="00422A95">
        <w:rPr>
          <w:rFonts w:ascii="Times New Roman" w:hAnsi="Times New Roman"/>
          <w:i/>
        </w:rPr>
        <w:t>impact factor</w:t>
      </w:r>
      <w:r w:rsidRPr="00422A95">
        <w:rPr>
          <w:rFonts w:ascii="Times New Roman" w:hAnsi="Times New Roman"/>
        </w:rPr>
        <w:t xml:space="preserve">. Dunque, </w:t>
      </w:r>
      <w:r w:rsidRPr="00422A95">
        <w:rPr>
          <w:rFonts w:ascii="Times New Roman" w:hAnsi="Times New Roman"/>
        </w:rPr>
        <w:lastRenderedPageBreak/>
        <w:t>maggiore il prestigio dello studio, minore l'elasticità. Le variabili "Rural" e "Continent" sono statisticamente significative, seppur mostrino effetto trascurabile. I risultati sulla qualità dei dati sono molto interessanti: quasi in tutti i casi è stato riscontrato che a lavori con informazioni dettagliate corrispondono valori più alti di elasticità. Ad esempio, l'utilizzo di dati panel è correlato a valori più alti di elasticità al reddito. Analogamente, laddove siano stati adottati dati ad alta frequenza (ad esempio dati mensili o settimanali) le stime ottenute sono più elevate. Infine, I lavori con elevata dimensione campionaria tendono a fornire stime più grandi o inferiori, a seconda del nutriente considerato: elasticità maggiore per proteine ​​e microelementi, ed inferiore per il grasso.</w:t>
      </w:r>
    </w:p>
    <w:p w:rsidR="001E2806" w:rsidRDefault="001E2806">
      <w:pPr>
        <w:pStyle w:val="Testopreformattato"/>
        <w:spacing w:after="283" w:line="360" w:lineRule="auto"/>
        <w:jc w:val="both"/>
      </w:pPr>
    </w:p>
    <w:p w:rsidR="001E2806" w:rsidRDefault="00515A19">
      <w:pPr>
        <w:pStyle w:val="ListParagraph"/>
        <w:numPr>
          <w:ilvl w:val="0"/>
          <w:numId w:val="2"/>
        </w:numPr>
        <w:spacing w:after="0" w:line="360" w:lineRule="auto"/>
        <w:rPr>
          <w:b/>
          <w:i/>
          <w:lang w:val="en-GB"/>
        </w:rPr>
      </w:pPr>
      <w:r>
        <w:rPr>
          <w:b/>
          <w:i/>
          <w:lang w:val="en-GB"/>
        </w:rPr>
        <w:t>Conclusioni</w:t>
      </w:r>
    </w:p>
    <w:p w:rsidR="001E2806" w:rsidRDefault="00515A19">
      <w:pPr>
        <w:pStyle w:val="Testopreformattato"/>
        <w:spacing w:line="360" w:lineRule="auto"/>
        <w:jc w:val="both"/>
        <w:rPr>
          <w:rFonts w:ascii="Times New Roman" w:hAnsi="Times New Roman"/>
        </w:rPr>
      </w:pPr>
      <w:bookmarkStart w:id="2" w:name="tw-target-text8"/>
      <w:bookmarkEnd w:id="2"/>
      <w:r>
        <w:rPr>
          <w:rFonts w:ascii="Times New Roman" w:hAnsi="Times New Roman"/>
        </w:rPr>
        <w:t>Assicurare la sicurezza alimentare e la corretta nutrizione è uno dei principali impegni delle politiche di organizzazioni governative e non governative (</w:t>
      </w:r>
      <w:r w:rsidR="00E364A3" w:rsidRPr="00422A95">
        <w:rPr>
          <w:rFonts w:ascii="Times New Roman" w:hAnsi="Times New Roman"/>
        </w:rPr>
        <w:t xml:space="preserve">European Union, 2015; </w:t>
      </w:r>
      <w:r>
        <w:rPr>
          <w:rFonts w:ascii="Times New Roman" w:hAnsi="Times New Roman"/>
        </w:rPr>
        <w:t>Santeramo, 2015</w:t>
      </w:r>
      <w:r w:rsidR="002C359A">
        <w:rPr>
          <w:rFonts w:ascii="Times New Roman" w:hAnsi="Times New Roman"/>
        </w:rPr>
        <w:t>a, 2015b</w:t>
      </w:r>
      <w:r>
        <w:rPr>
          <w:rFonts w:ascii="Times New Roman" w:hAnsi="Times New Roman"/>
        </w:rPr>
        <w:t xml:space="preserve">). I cambiamenti nei modelli di consumo in risposta alle oscillazioni dei prezzi ed alle variazioni dei redditi potrebbero avere un impatto sul consumo di nutrienti con conseguenze non ancora ben definite. Sebbene una vasta letteratura empirica abbia fornito stime di elasticità al reddito di calorie, micro e macro nutrienti, l'evidenza empirica riportata nei diversi studi è molto eterogenea. Alla luce del </w:t>
      </w:r>
      <w:r w:rsidR="00DB4A35">
        <w:rPr>
          <w:rFonts w:ascii="Times New Roman" w:hAnsi="Times New Roman"/>
        </w:rPr>
        <w:t>dibattito</w:t>
      </w:r>
      <w:r>
        <w:rPr>
          <w:rFonts w:ascii="Times New Roman" w:hAnsi="Times New Roman"/>
        </w:rPr>
        <w:t xml:space="preserve"> sulla sicurezza alimentare e sulla nutrizione, la comprensione delle determinanti di tale eterogeneità delle stime è di grande rilevanza.</w:t>
      </w:r>
    </w:p>
    <w:p w:rsidR="001E2806" w:rsidRDefault="00515A19">
      <w:pPr>
        <w:pStyle w:val="Testopreformattato"/>
        <w:spacing w:line="360" w:lineRule="auto"/>
        <w:jc w:val="both"/>
        <w:rPr>
          <w:rFonts w:ascii="Times New Roman" w:hAnsi="Times New Roman"/>
        </w:rPr>
      </w:pPr>
      <w:r>
        <w:rPr>
          <w:rFonts w:ascii="Times New Roman" w:hAnsi="Times New Roman"/>
        </w:rPr>
        <w:t>La presente meta-analisi ha rilevato che nella maggior parte degli studi il consumo di calorie e proteine ​​è più inelastico al reddito rispetto a qu</w:t>
      </w:r>
      <w:r w:rsidR="00E70B89">
        <w:rPr>
          <w:rFonts w:ascii="Times New Roman" w:hAnsi="Times New Roman"/>
        </w:rPr>
        <w:t>ello di grassi e micronutrienti (si notino i valori delle costanti di regressione in tabella 4).</w:t>
      </w:r>
      <w:r>
        <w:rPr>
          <w:rFonts w:ascii="Times New Roman" w:hAnsi="Times New Roman"/>
        </w:rPr>
        <w:t xml:space="preserve"> </w:t>
      </w:r>
      <w:r w:rsidR="00E70B89">
        <w:rPr>
          <w:rFonts w:ascii="Times New Roman" w:hAnsi="Times New Roman"/>
        </w:rPr>
        <w:t>I micronutrienti</w:t>
      </w:r>
      <w:r>
        <w:rPr>
          <w:rFonts w:ascii="Times New Roman" w:hAnsi="Times New Roman"/>
        </w:rPr>
        <w:t>, a loro volta, risulta</w:t>
      </w:r>
      <w:r w:rsidR="00DB4A35">
        <w:rPr>
          <w:rFonts w:ascii="Times New Roman" w:hAnsi="Times New Roman"/>
        </w:rPr>
        <w:t>no</w:t>
      </w:r>
      <w:r>
        <w:rPr>
          <w:rFonts w:ascii="Times New Roman" w:hAnsi="Times New Roman"/>
        </w:rPr>
        <w:t xml:space="preserve"> molto sensibil</w:t>
      </w:r>
      <w:r w:rsidR="00DB4A35">
        <w:rPr>
          <w:rFonts w:ascii="Times New Roman" w:hAnsi="Times New Roman"/>
        </w:rPr>
        <w:t>i</w:t>
      </w:r>
      <w:r>
        <w:rPr>
          <w:rFonts w:ascii="Times New Roman" w:hAnsi="Times New Roman"/>
        </w:rPr>
        <w:t xml:space="preserve"> alle variazioni del reddito. La meta-analisi rivela che il reddito non altera l'elasticità al reddito</w:t>
      </w:r>
      <w:r w:rsidR="00054287">
        <w:rPr>
          <w:rFonts w:ascii="Times New Roman" w:hAnsi="Times New Roman"/>
        </w:rPr>
        <w:t>, in tutti i casi eccezzion fatta per il consumo di calori</w:t>
      </w:r>
      <w:r>
        <w:rPr>
          <w:rFonts w:ascii="Times New Roman" w:hAnsi="Times New Roman"/>
        </w:rPr>
        <w:t xml:space="preserve">, mentre è evidente un notevole </w:t>
      </w:r>
      <w:r w:rsidR="00E364A3" w:rsidRPr="00422A95">
        <w:rPr>
          <w:rFonts w:ascii="Times New Roman" w:hAnsi="Times New Roman"/>
          <w:i/>
        </w:rPr>
        <w:t>bias</w:t>
      </w:r>
      <w:r>
        <w:rPr>
          <w:rFonts w:ascii="Times New Roman" w:hAnsi="Times New Roman"/>
        </w:rPr>
        <w:t xml:space="preserve"> nelle stime riportate in lavori pubblicati (le elasticità al reddito per le calorie riportate in articoli pubblicati su riviste con </w:t>
      </w:r>
      <w:r w:rsidR="00E364A3" w:rsidRPr="00422A95">
        <w:rPr>
          <w:rFonts w:ascii="Times New Roman" w:hAnsi="Times New Roman"/>
          <w:i/>
        </w:rPr>
        <w:t>impact factor</w:t>
      </w:r>
      <w:r>
        <w:rPr>
          <w:rFonts w:ascii="Times New Roman" w:hAnsi="Times New Roman"/>
        </w:rPr>
        <w:t xml:space="preserve"> tendono ad essere più basse della media). Il lavoro evidenzia altresì che la qualità dei dati è molto importante ed è in grado di influenzare le stime di elasticità al reddito.</w:t>
      </w:r>
    </w:p>
    <w:p w:rsidR="001E2806" w:rsidRDefault="00515A19">
      <w:pPr>
        <w:pStyle w:val="Testopreformattato"/>
        <w:spacing w:line="360" w:lineRule="auto"/>
        <w:jc w:val="both"/>
        <w:rPr>
          <w:rFonts w:ascii="Times New Roman" w:hAnsi="Times New Roman"/>
        </w:rPr>
      </w:pPr>
      <w:r>
        <w:rPr>
          <w:rFonts w:ascii="Times New Roman" w:hAnsi="Times New Roman"/>
        </w:rPr>
        <w:t>Il limitato numero di studi sulle elasticità al reddito di proteine, grassi e micronutrienti, e la scarsa comprensione degli impatti delle variazioni del reddito sull'assunzione di sostanze nutritive rimane un argomento importante che merita ulteriori ricerche.</w:t>
      </w:r>
    </w:p>
    <w:p w:rsidR="001E2806" w:rsidRDefault="001E2806">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2C359A" w:rsidRDefault="002C359A">
      <w:pPr>
        <w:pStyle w:val="Testopreformattato"/>
        <w:spacing w:line="360" w:lineRule="auto"/>
        <w:jc w:val="both"/>
        <w:rPr>
          <w:rFonts w:ascii="Times New Roman" w:hAnsi="Times New Roman"/>
        </w:rPr>
      </w:pPr>
    </w:p>
    <w:p w:rsidR="001E2806" w:rsidRDefault="001E2806">
      <w:pPr>
        <w:pStyle w:val="Testopreformattato"/>
        <w:spacing w:line="360" w:lineRule="auto"/>
        <w:jc w:val="both"/>
        <w:rPr>
          <w:rFonts w:ascii="Times New Roman" w:hAnsi="Times New Roman"/>
        </w:rPr>
      </w:pPr>
    </w:p>
    <w:p w:rsidR="001E2806" w:rsidRDefault="00515A19">
      <w:pPr>
        <w:spacing w:line="360" w:lineRule="auto"/>
        <w:rPr>
          <w:b/>
          <w:i/>
          <w:lang w:val="en-GB"/>
        </w:rPr>
      </w:pPr>
      <w:r>
        <w:rPr>
          <w:b/>
          <w:i/>
          <w:lang w:val="en-GB"/>
        </w:rPr>
        <w:lastRenderedPageBreak/>
        <w:t xml:space="preserve">Referenze </w:t>
      </w:r>
      <w:r>
        <w:rPr>
          <w:b/>
          <w:i/>
          <w:lang w:val="en-GB"/>
        </w:rPr>
        <w:tab/>
      </w:r>
      <w:r>
        <w:rPr>
          <w:b/>
          <w:i/>
          <w:lang w:val="en-GB"/>
        </w:rPr>
        <w:tab/>
      </w:r>
      <w:r>
        <w:rPr>
          <w:b/>
          <w:i/>
          <w:lang w:val="en-GB"/>
        </w:rPr>
        <w:tab/>
      </w:r>
    </w:p>
    <w:p w:rsidR="001E2806" w:rsidRDefault="001E2806">
      <w:pPr>
        <w:pStyle w:val="ListParagraph"/>
        <w:spacing w:after="0" w:line="360" w:lineRule="auto"/>
        <w:jc w:val="both"/>
      </w:pPr>
    </w:p>
    <w:p w:rsidR="001E2806" w:rsidRDefault="00515A19">
      <w:pPr>
        <w:pStyle w:val="ListParagraph"/>
        <w:numPr>
          <w:ilvl w:val="0"/>
          <w:numId w:val="1"/>
        </w:numPr>
        <w:spacing w:after="0" w:line="360" w:lineRule="auto"/>
        <w:rPr>
          <w:rFonts w:ascii="Times New Roman" w:hAnsi="Times New Roman"/>
          <w:sz w:val="20"/>
          <w:szCs w:val="20"/>
          <w:lang w:val="en-GB"/>
        </w:rPr>
      </w:pPr>
      <w:r>
        <w:rPr>
          <w:rFonts w:ascii="Times New Roman" w:hAnsi="Times New Roman"/>
          <w:sz w:val="20"/>
          <w:szCs w:val="20"/>
          <w:lang w:val="en-GB"/>
        </w:rPr>
        <w:t xml:space="preserve">Egger, M., Smith, G. D., Schneider, M., &amp; Minder, C. (1997). Bias in meta-analysis detected by a simple, graphical test. </w:t>
      </w:r>
      <w:r>
        <w:rPr>
          <w:rFonts w:ascii="Times New Roman" w:hAnsi="Times New Roman" w:cs="Arial"/>
          <w:i/>
          <w:sz w:val="20"/>
          <w:szCs w:val="20"/>
          <w:lang w:val="en-GB"/>
        </w:rPr>
        <w:t>BMJ: British Medical Journal</w:t>
      </w:r>
      <w:r>
        <w:rPr>
          <w:rFonts w:ascii="Times New Roman" w:hAnsi="Times New Roman"/>
          <w:sz w:val="20"/>
          <w:szCs w:val="20"/>
          <w:lang w:val="en-GB"/>
        </w:rPr>
        <w:t>, 315, 629-634.</w:t>
      </w:r>
    </w:p>
    <w:p w:rsidR="001E2806" w:rsidRDefault="00515A19">
      <w:pPr>
        <w:pStyle w:val="ListParagraph"/>
        <w:numPr>
          <w:ilvl w:val="0"/>
          <w:numId w:val="1"/>
        </w:numPr>
        <w:spacing w:after="0" w:line="360" w:lineRule="auto"/>
        <w:rPr>
          <w:rFonts w:ascii="Times New Roman" w:hAnsi="Times New Roman"/>
          <w:sz w:val="20"/>
          <w:szCs w:val="20"/>
          <w:lang w:val="en-GB"/>
        </w:rPr>
      </w:pPr>
      <w:bookmarkStart w:id="3" w:name="__DdeLink__2050_1794935620"/>
      <w:r>
        <w:rPr>
          <w:rFonts w:ascii="Times New Roman" w:hAnsi="Times New Roman"/>
          <w:sz w:val="20"/>
          <w:szCs w:val="20"/>
          <w:lang w:val="en-GB"/>
        </w:rPr>
        <w:t>European Union. 2015</w:t>
      </w:r>
      <w:bookmarkEnd w:id="3"/>
      <w:r>
        <w:rPr>
          <w:rFonts w:ascii="Times New Roman" w:hAnsi="Times New Roman"/>
          <w:sz w:val="20"/>
          <w:szCs w:val="20"/>
          <w:lang w:val="en-GB"/>
        </w:rPr>
        <w:t>. The role of research in global food and nutrition security. Expo 2015 EU Scientific Steering Committee. Discussion paper</w:t>
      </w:r>
    </w:p>
    <w:p w:rsidR="001E2806" w:rsidRDefault="00515A19">
      <w:pPr>
        <w:pStyle w:val="ListParagraph"/>
        <w:numPr>
          <w:ilvl w:val="0"/>
          <w:numId w:val="1"/>
        </w:numPr>
        <w:spacing w:after="0" w:line="360" w:lineRule="auto"/>
        <w:jc w:val="both"/>
        <w:rPr>
          <w:rFonts w:ascii="Times New Roman" w:hAnsi="Times New Roman" w:cs="Arial"/>
          <w:sz w:val="20"/>
          <w:szCs w:val="20"/>
          <w:lang w:val="en-GB"/>
        </w:rPr>
      </w:pPr>
      <w:r>
        <w:rPr>
          <w:rFonts w:ascii="Times New Roman" w:hAnsi="Times New Roman" w:cs="Arial"/>
          <w:sz w:val="20"/>
          <w:szCs w:val="20"/>
          <w:lang w:val="en-GB"/>
        </w:rPr>
        <w:t xml:space="preserve">Green, R., Comelsen, L., Dangour, A., Turner, R., Shankar, B., Mazzocchi, M. &amp; Smith, R.D. (2013). The effect of rising food prices on food consumption: systematic review with meta-regression. </w:t>
      </w:r>
      <w:r>
        <w:rPr>
          <w:rFonts w:ascii="Times New Roman" w:hAnsi="Times New Roman" w:cs="Arial"/>
          <w:i/>
          <w:sz w:val="20"/>
          <w:szCs w:val="20"/>
          <w:lang w:val="en-GB"/>
        </w:rPr>
        <w:t>BMJ: British Medical Journal</w:t>
      </w:r>
      <w:r>
        <w:rPr>
          <w:rFonts w:ascii="Times New Roman" w:hAnsi="Times New Roman" w:cs="Arial"/>
          <w:sz w:val="20"/>
          <w:szCs w:val="20"/>
          <w:lang w:val="en-GB"/>
        </w:rPr>
        <w:t>, 346</w:t>
      </w:r>
    </w:p>
    <w:p w:rsidR="001E2806" w:rsidRDefault="00515A19">
      <w:pPr>
        <w:pStyle w:val="ListParagraph"/>
        <w:numPr>
          <w:ilvl w:val="0"/>
          <w:numId w:val="1"/>
        </w:numPr>
        <w:spacing w:after="0" w:line="360" w:lineRule="auto"/>
        <w:rPr>
          <w:rFonts w:ascii="Times New Roman" w:hAnsi="Times New Roman" w:cs="Arial"/>
          <w:sz w:val="20"/>
          <w:szCs w:val="20"/>
          <w:lang w:val="en-GB"/>
        </w:rPr>
      </w:pPr>
      <w:r>
        <w:rPr>
          <w:rFonts w:ascii="Times New Roman" w:hAnsi="Times New Roman" w:cs="Arial"/>
          <w:sz w:val="20"/>
          <w:szCs w:val="20"/>
          <w:lang w:val="en-GB"/>
        </w:rPr>
        <w:t xml:space="preserve">FAO, IFAD &amp; WFP. (2013). The State of Food Insecurity in the World 2013. The multiple dimensions of food security. Rome: FAO. </w:t>
      </w:r>
    </w:p>
    <w:p w:rsidR="001E2806" w:rsidRDefault="00515A19">
      <w:pPr>
        <w:pStyle w:val="ListParagraph"/>
        <w:numPr>
          <w:ilvl w:val="0"/>
          <w:numId w:val="1"/>
        </w:numPr>
        <w:spacing w:after="0" w:line="360" w:lineRule="auto"/>
        <w:rPr>
          <w:rFonts w:ascii="Times New Roman" w:hAnsi="Times New Roman"/>
          <w:sz w:val="20"/>
          <w:szCs w:val="20"/>
          <w:lang w:val="en-GB"/>
        </w:rPr>
      </w:pPr>
      <w:r>
        <w:rPr>
          <w:rFonts w:ascii="Times New Roman" w:hAnsi="Times New Roman"/>
          <w:sz w:val="20"/>
          <w:szCs w:val="20"/>
          <w:lang w:val="en-GB"/>
        </w:rPr>
        <w:t xml:space="preserve">Ogundari, K., &amp; Abdulai, A. (2013). Examining the heterogeneity in calorie–income elasticities: A meta-analysis. </w:t>
      </w:r>
      <w:r>
        <w:rPr>
          <w:rFonts w:ascii="Times New Roman" w:hAnsi="Times New Roman"/>
          <w:i/>
          <w:sz w:val="20"/>
          <w:szCs w:val="20"/>
          <w:lang w:val="en-GB"/>
        </w:rPr>
        <w:t>Food Policy</w:t>
      </w:r>
      <w:r>
        <w:rPr>
          <w:rFonts w:ascii="Times New Roman" w:hAnsi="Times New Roman"/>
          <w:sz w:val="20"/>
          <w:szCs w:val="20"/>
          <w:lang w:val="en-GB"/>
        </w:rPr>
        <w:t>, 40, 119-128.</w:t>
      </w:r>
    </w:p>
    <w:p w:rsidR="001E2806" w:rsidRDefault="00515A19">
      <w:pPr>
        <w:pStyle w:val="ListParagraph"/>
        <w:numPr>
          <w:ilvl w:val="0"/>
          <w:numId w:val="1"/>
        </w:numPr>
        <w:spacing w:after="0" w:line="360" w:lineRule="auto"/>
        <w:jc w:val="both"/>
        <w:rPr>
          <w:rFonts w:ascii="Times New Roman" w:hAnsi="Times New Roman" w:cs="Arial"/>
          <w:sz w:val="20"/>
          <w:szCs w:val="20"/>
          <w:lang w:val="en-GB"/>
        </w:rPr>
      </w:pPr>
      <w:r>
        <w:rPr>
          <w:rFonts w:ascii="Times New Roman" w:hAnsi="Times New Roman" w:cs="Arial"/>
          <w:sz w:val="20"/>
          <w:szCs w:val="20"/>
          <w:lang w:val="en-GB"/>
        </w:rPr>
        <w:t xml:space="preserve">Ruel, M. T. (2003). Operationalizing dietary diversity: a review of measurement issues and research priorities. </w:t>
      </w:r>
      <w:r>
        <w:rPr>
          <w:rFonts w:ascii="Times New Roman" w:hAnsi="Times New Roman" w:cs="Arial"/>
          <w:i/>
          <w:sz w:val="20"/>
          <w:szCs w:val="20"/>
          <w:lang w:val="en-GB"/>
        </w:rPr>
        <w:t>The Journal of Nutrition</w:t>
      </w:r>
      <w:r>
        <w:rPr>
          <w:rFonts w:ascii="Times New Roman" w:hAnsi="Times New Roman" w:cs="Arial"/>
          <w:sz w:val="20"/>
          <w:szCs w:val="20"/>
          <w:lang w:val="en-GB"/>
        </w:rPr>
        <w:t>, 133, 3926S-3926S</w:t>
      </w:r>
    </w:p>
    <w:p w:rsidR="001E2806" w:rsidRDefault="00515A19">
      <w:pPr>
        <w:pStyle w:val="ListParagraph"/>
        <w:numPr>
          <w:ilvl w:val="0"/>
          <w:numId w:val="1"/>
        </w:numPr>
        <w:spacing w:after="0" w:line="360" w:lineRule="auto"/>
        <w:jc w:val="both"/>
        <w:rPr>
          <w:rFonts w:ascii="Times New Roman" w:hAnsi="Times New Roman" w:cs="Arial"/>
          <w:sz w:val="20"/>
          <w:szCs w:val="20"/>
          <w:lang w:val="en-GB"/>
        </w:rPr>
      </w:pPr>
      <w:r>
        <w:rPr>
          <w:rFonts w:ascii="Times New Roman" w:hAnsi="Times New Roman" w:cs="Arial"/>
          <w:sz w:val="20"/>
          <w:szCs w:val="20"/>
          <w:lang w:val="en-GB"/>
        </w:rPr>
        <w:t xml:space="preserve">Ruel, M.T., </w:t>
      </w:r>
      <w:r>
        <w:rPr>
          <w:rFonts w:ascii="Times New Roman" w:hAnsi="Times New Roman"/>
          <w:sz w:val="20"/>
          <w:szCs w:val="20"/>
          <w:lang w:val="en-GB"/>
        </w:rPr>
        <w:t>&amp;</w:t>
      </w:r>
      <w:r>
        <w:rPr>
          <w:rFonts w:ascii="Times New Roman" w:hAnsi="Times New Roman" w:cs="Arial"/>
          <w:sz w:val="20"/>
          <w:szCs w:val="20"/>
          <w:lang w:val="en-GB"/>
        </w:rPr>
        <w:t xml:space="preserve"> Alderman, H. (2013). Maternal and child nutrition 3. Nutrition-sensitive interventions and programmes: how can they help to accelerate progress in improving maternal and child nutrition?. </w:t>
      </w:r>
      <w:r>
        <w:rPr>
          <w:rFonts w:ascii="Times New Roman" w:hAnsi="Times New Roman" w:cs="Arial"/>
          <w:i/>
          <w:sz w:val="20"/>
          <w:szCs w:val="20"/>
          <w:lang w:val="en-GB"/>
        </w:rPr>
        <w:t>The lancet</w:t>
      </w:r>
      <w:r>
        <w:rPr>
          <w:rFonts w:ascii="Times New Roman" w:hAnsi="Times New Roman" w:cs="Arial"/>
          <w:sz w:val="20"/>
          <w:szCs w:val="20"/>
          <w:lang w:val="en-GB"/>
        </w:rPr>
        <w:t>, 382, 536-51</w:t>
      </w:r>
    </w:p>
    <w:p w:rsidR="001E2806" w:rsidRDefault="00D10990">
      <w:pPr>
        <w:numPr>
          <w:ilvl w:val="0"/>
          <w:numId w:val="1"/>
        </w:numPr>
        <w:spacing w:line="360" w:lineRule="auto"/>
        <w:contextualSpacing/>
        <w:jc w:val="both"/>
        <w:rPr>
          <w:rFonts w:ascii="Times New Roman" w:hAnsi="Times New Roman"/>
          <w:sz w:val="20"/>
          <w:szCs w:val="20"/>
        </w:rPr>
      </w:pPr>
      <w:r w:rsidRPr="00E707B5">
        <w:rPr>
          <w:rFonts w:ascii="Times New Roman" w:hAnsi="Times New Roman"/>
          <w:sz w:val="20"/>
          <w:szCs w:val="20"/>
        </w:rPr>
        <w:t xml:space="preserve">Santeramo, F. G., &amp; Shabnam, N. (2015). </w:t>
      </w:r>
      <w:r w:rsidR="00E364A3" w:rsidRPr="00422A95">
        <w:rPr>
          <w:rFonts w:ascii="Times New Roman" w:hAnsi="Times New Roman"/>
          <w:sz w:val="20"/>
          <w:szCs w:val="20"/>
          <w:lang w:val="en-US"/>
        </w:rPr>
        <w:t xml:space="preserve">The income-elasticity of calories, macro-and micro-nutrients: What is the literature telling us?. </w:t>
      </w:r>
      <w:r w:rsidR="00515A19">
        <w:rPr>
          <w:rFonts w:ascii="Times New Roman" w:hAnsi="Times New Roman"/>
          <w:i/>
          <w:sz w:val="20"/>
          <w:szCs w:val="20"/>
        </w:rPr>
        <w:t>Food Research International</w:t>
      </w:r>
      <w:r w:rsidR="00515A19">
        <w:rPr>
          <w:rFonts w:ascii="Times New Roman" w:hAnsi="Times New Roman"/>
          <w:sz w:val="20"/>
          <w:szCs w:val="20"/>
        </w:rPr>
        <w:t xml:space="preserve">. </w:t>
      </w:r>
    </w:p>
    <w:p w:rsidR="001E2806" w:rsidRDefault="00E364A3">
      <w:pPr>
        <w:numPr>
          <w:ilvl w:val="0"/>
          <w:numId w:val="1"/>
        </w:numPr>
        <w:spacing w:line="360" w:lineRule="auto"/>
        <w:contextualSpacing/>
        <w:jc w:val="both"/>
        <w:rPr>
          <w:rFonts w:ascii="Times New Roman" w:hAnsi="Times New Roman"/>
          <w:sz w:val="20"/>
          <w:szCs w:val="20"/>
        </w:rPr>
      </w:pPr>
      <w:r w:rsidRPr="00422A95">
        <w:rPr>
          <w:rFonts w:ascii="Times New Roman" w:hAnsi="Times New Roman"/>
          <w:sz w:val="20"/>
          <w:szCs w:val="20"/>
          <w:lang w:val="en-US"/>
        </w:rPr>
        <w:t>Santeramo, F. G. (2015</w:t>
      </w:r>
      <w:r w:rsidR="002C359A">
        <w:rPr>
          <w:rFonts w:ascii="Times New Roman" w:hAnsi="Times New Roman"/>
          <w:sz w:val="20"/>
          <w:szCs w:val="20"/>
          <w:lang w:val="en-US"/>
        </w:rPr>
        <w:t>a</w:t>
      </w:r>
      <w:r w:rsidRPr="00422A95">
        <w:rPr>
          <w:rFonts w:ascii="Times New Roman" w:hAnsi="Times New Roman"/>
          <w:sz w:val="20"/>
          <w:szCs w:val="20"/>
          <w:lang w:val="en-US"/>
        </w:rPr>
        <w:t xml:space="preserve">). Food security composite indices: implications for policy and practice. </w:t>
      </w:r>
      <w:r w:rsidR="00515A19">
        <w:rPr>
          <w:rFonts w:ascii="Times New Roman" w:hAnsi="Times New Roman"/>
          <w:i/>
          <w:sz w:val="20"/>
          <w:szCs w:val="20"/>
        </w:rPr>
        <w:t>Development in Practice</w:t>
      </w:r>
      <w:r w:rsidR="00515A19">
        <w:rPr>
          <w:rFonts w:ascii="Times New Roman" w:hAnsi="Times New Roman"/>
          <w:sz w:val="20"/>
          <w:szCs w:val="20"/>
        </w:rPr>
        <w:t xml:space="preserve">, </w:t>
      </w:r>
      <w:r w:rsidR="00515A19">
        <w:rPr>
          <w:rFonts w:ascii="Times New Roman" w:hAnsi="Times New Roman"/>
          <w:i/>
          <w:sz w:val="20"/>
          <w:szCs w:val="20"/>
        </w:rPr>
        <w:t>25</w:t>
      </w:r>
      <w:r w:rsidR="00515A19">
        <w:rPr>
          <w:rFonts w:ascii="Times New Roman" w:hAnsi="Times New Roman"/>
          <w:sz w:val="20"/>
          <w:szCs w:val="20"/>
        </w:rPr>
        <w:t>(4), 594-600.</w:t>
      </w:r>
    </w:p>
    <w:p w:rsidR="002C359A" w:rsidRPr="002C359A" w:rsidRDefault="002C359A">
      <w:pPr>
        <w:numPr>
          <w:ilvl w:val="0"/>
          <w:numId w:val="1"/>
        </w:numPr>
        <w:spacing w:line="360" w:lineRule="auto"/>
        <w:contextualSpacing/>
        <w:jc w:val="both"/>
        <w:rPr>
          <w:rFonts w:ascii="Times New Roman" w:hAnsi="Times New Roman" w:cs="Times New Roman"/>
          <w:color w:val="auto"/>
          <w:sz w:val="20"/>
          <w:szCs w:val="20"/>
        </w:rPr>
      </w:pPr>
      <w:r w:rsidRPr="002C359A">
        <w:rPr>
          <w:rFonts w:ascii="Times New Roman" w:hAnsi="Times New Roman" w:cs="Times New Roman"/>
          <w:sz w:val="20"/>
          <w:szCs w:val="20"/>
          <w:lang w:val="en-US"/>
        </w:rPr>
        <w:t>Santeramo, F. G. (2015</w:t>
      </w:r>
      <w:r>
        <w:rPr>
          <w:rFonts w:ascii="Times New Roman" w:hAnsi="Times New Roman" w:cs="Times New Roman"/>
          <w:sz w:val="20"/>
          <w:szCs w:val="20"/>
          <w:lang w:val="en-US"/>
        </w:rPr>
        <w:t>b</w:t>
      </w:r>
      <w:r w:rsidRPr="002C359A">
        <w:rPr>
          <w:rFonts w:ascii="Times New Roman" w:hAnsi="Times New Roman" w:cs="Times New Roman"/>
          <w:sz w:val="20"/>
          <w:szCs w:val="20"/>
          <w:lang w:val="en-US"/>
        </w:rPr>
        <w:t>).</w:t>
      </w:r>
      <w:r w:rsidRPr="002C359A">
        <w:rPr>
          <w:rFonts w:ascii="Times New Roman" w:hAnsi="Times New Roman" w:cs="Times New Roman"/>
          <w:sz w:val="20"/>
          <w:szCs w:val="20"/>
          <w:lang w:val="en-US"/>
        </w:rPr>
        <w:t xml:space="preserve"> </w:t>
      </w:r>
      <w:hyperlink r:id="rId7" w:anchor=".VGEL9nXf95Q" w:tgtFrame="_blank" w:history="1">
        <w:r w:rsidRPr="002C359A">
          <w:rPr>
            <w:rStyle w:val="Hyperlink"/>
            <w:rFonts w:ascii="Times New Roman" w:hAnsi="Times New Roman" w:cs="Times New Roman"/>
            <w:color w:val="auto"/>
            <w:sz w:val="20"/>
            <w:szCs w:val="20"/>
            <w:u w:val="none"/>
            <w:bdr w:val="none" w:sz="0" w:space="0" w:color="auto" w:frame="1"/>
          </w:rPr>
          <w:t>On the composite indicators for food security: decisions matter!</w:t>
        </w:r>
      </w:hyperlink>
      <w:r w:rsidRPr="002C359A">
        <w:rPr>
          <w:rFonts w:ascii="Times New Roman" w:hAnsi="Times New Roman" w:cs="Times New Roman"/>
          <w:color w:val="auto"/>
          <w:sz w:val="20"/>
          <w:szCs w:val="20"/>
          <w:shd w:val="clear" w:color="auto" w:fill="FFFFFF"/>
        </w:rPr>
        <w:t> </w:t>
      </w:r>
      <w:hyperlink r:id="rId8" w:anchor=".U-kArXVJV5Q" w:history="1">
        <w:r w:rsidRPr="002C359A">
          <w:rPr>
            <w:rStyle w:val="Hyperlink"/>
            <w:rFonts w:ascii="Times New Roman" w:hAnsi="Times New Roman" w:cs="Times New Roman"/>
            <w:i/>
            <w:color w:val="auto"/>
            <w:sz w:val="20"/>
            <w:szCs w:val="20"/>
            <w:u w:val="none"/>
            <w:bdr w:val="none" w:sz="0" w:space="0" w:color="auto" w:frame="1"/>
          </w:rPr>
          <w:t>Food Reviews International</w:t>
        </w:r>
        <w:r w:rsidRPr="002C359A">
          <w:rPr>
            <w:rStyle w:val="Hyperlink"/>
            <w:rFonts w:ascii="Times New Roman" w:hAnsi="Times New Roman" w:cs="Times New Roman"/>
            <w:color w:val="auto"/>
            <w:sz w:val="20"/>
            <w:szCs w:val="20"/>
            <w:u w:val="none"/>
            <w:bdr w:val="none" w:sz="0" w:space="0" w:color="auto" w:frame="1"/>
          </w:rPr>
          <w:t>.</w:t>
        </w:r>
      </w:hyperlink>
      <w:r w:rsidRPr="002C359A">
        <w:rPr>
          <w:rFonts w:ascii="Times New Roman" w:hAnsi="Times New Roman" w:cs="Times New Roman"/>
          <w:color w:val="auto"/>
          <w:sz w:val="20"/>
          <w:szCs w:val="20"/>
          <w:bdr w:val="none" w:sz="0" w:space="0" w:color="auto" w:frame="1"/>
          <w:shd w:val="clear" w:color="auto" w:fill="FFFFFF"/>
        </w:rPr>
        <w:t> 31:63-73.</w:t>
      </w:r>
    </w:p>
    <w:p w:rsidR="001E2806" w:rsidRDefault="00515A19">
      <w:pPr>
        <w:pStyle w:val="ListParagraph"/>
        <w:numPr>
          <w:ilvl w:val="0"/>
          <w:numId w:val="1"/>
        </w:numPr>
        <w:spacing w:after="0" w:line="360" w:lineRule="auto"/>
        <w:rPr>
          <w:rFonts w:ascii="Times New Roman" w:hAnsi="Times New Roman"/>
          <w:sz w:val="20"/>
          <w:szCs w:val="20"/>
          <w:lang w:val="en-GB"/>
        </w:rPr>
      </w:pPr>
      <w:r>
        <w:rPr>
          <w:rFonts w:ascii="Times New Roman" w:hAnsi="Times New Roman"/>
          <w:sz w:val="20"/>
          <w:szCs w:val="20"/>
          <w:lang w:val="en-GB"/>
        </w:rPr>
        <w:t xml:space="preserve">Stanley, T. D. (2005). Beyond publication bias. </w:t>
      </w:r>
      <w:r>
        <w:rPr>
          <w:rFonts w:ascii="Times New Roman" w:hAnsi="Times New Roman"/>
          <w:i/>
          <w:sz w:val="20"/>
          <w:szCs w:val="20"/>
          <w:lang w:val="en-GB"/>
        </w:rPr>
        <w:t>Journal of Economic Surveys</w:t>
      </w:r>
      <w:r>
        <w:rPr>
          <w:rFonts w:ascii="Times New Roman" w:hAnsi="Times New Roman"/>
          <w:sz w:val="20"/>
          <w:szCs w:val="20"/>
          <w:lang w:val="en-GB"/>
        </w:rPr>
        <w:t>, 19, 309-345.</w:t>
      </w:r>
    </w:p>
    <w:p w:rsidR="001E2806" w:rsidRDefault="001E2806">
      <w:pPr>
        <w:pStyle w:val="ListParagraph"/>
        <w:spacing w:after="0" w:line="360" w:lineRule="auto"/>
        <w:ind w:left="0"/>
        <w:rPr>
          <w:lang w:val="en-US"/>
        </w:rPr>
      </w:pPr>
    </w:p>
    <w:p w:rsidR="001E2806" w:rsidRDefault="001E2806">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E70B89" w:rsidRDefault="00E70B89">
      <w:pPr>
        <w:spacing w:before="120" w:after="120"/>
        <w:rPr>
          <w:lang w:val="en-GB"/>
        </w:rPr>
      </w:pPr>
    </w:p>
    <w:p w:rsidR="00054287" w:rsidRDefault="00054287">
      <w:pPr>
        <w:spacing w:before="120" w:after="120"/>
        <w:rPr>
          <w:lang w:val="en-GB"/>
        </w:rPr>
      </w:pPr>
      <w:bookmarkStart w:id="4" w:name="_GoBack"/>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pPr>
    </w:p>
    <w:p w:rsidR="00054287" w:rsidRDefault="00054287">
      <w:pPr>
        <w:spacing w:before="120" w:after="120"/>
        <w:rPr>
          <w:lang w:val="en-GB"/>
        </w:rPr>
        <w:sectPr w:rsidR="00054287" w:rsidSect="00D1099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0" w:footer="0" w:gutter="0"/>
          <w:cols w:space="720"/>
          <w:formProt w:val="0"/>
          <w:docGrid w:linePitch="240" w:charSpace="-6145"/>
        </w:sectPr>
      </w:pPr>
    </w:p>
    <w:bookmarkEnd w:id="4"/>
    <w:p w:rsidR="00054287" w:rsidRDefault="00054287">
      <w:pPr>
        <w:spacing w:before="120" w:after="120"/>
        <w:rPr>
          <w:lang w:val="en-GB"/>
        </w:rPr>
      </w:pPr>
    </w:p>
    <w:p w:rsidR="00E70B89" w:rsidRDefault="00E70B89">
      <w:pPr>
        <w:spacing w:before="120" w:after="120"/>
        <w:rPr>
          <w:lang w:val="en-GB"/>
        </w:rPr>
      </w:pPr>
    </w:p>
    <w:tbl>
      <w:tblPr>
        <w:tblW w:w="16470" w:type="dxa"/>
        <w:tblInd w:w="-792" w:type="dxa"/>
        <w:tblBorders>
          <w:top w:val="nil"/>
          <w:left w:val="nil"/>
          <w:bottom w:val="single" w:sz="4" w:space="0" w:color="00000A"/>
          <w:right w:val="nil"/>
          <w:insideH w:val="single" w:sz="4" w:space="0" w:color="00000A"/>
          <w:insideV w:val="nil"/>
        </w:tblBorders>
        <w:tblLook w:val="0000" w:firstRow="0" w:lastRow="0" w:firstColumn="0" w:lastColumn="0" w:noHBand="0" w:noVBand="0"/>
      </w:tblPr>
      <w:tblGrid>
        <w:gridCol w:w="2250"/>
        <w:gridCol w:w="810"/>
        <w:gridCol w:w="4230"/>
        <w:gridCol w:w="1530"/>
        <w:gridCol w:w="7650"/>
      </w:tblGrid>
      <w:tr w:rsidR="001E2806" w:rsidTr="00054287">
        <w:tc>
          <w:tcPr>
            <w:tcW w:w="16470" w:type="dxa"/>
            <w:gridSpan w:val="5"/>
            <w:tcBorders>
              <w:top w:val="nil"/>
              <w:left w:val="nil"/>
              <w:bottom w:val="single" w:sz="4" w:space="0" w:color="00000A"/>
              <w:right w:val="nil"/>
            </w:tcBorders>
            <w:shd w:val="clear" w:color="auto" w:fill="FFFFFF"/>
            <w:vAlign w:val="bottom"/>
          </w:tcPr>
          <w:p w:rsidR="001E2806" w:rsidRPr="00422A95" w:rsidRDefault="00E364A3">
            <w:pPr>
              <w:rPr>
                <w:rFonts w:cs="Times New Roman"/>
                <w:sz w:val="20"/>
                <w:szCs w:val="20"/>
                <w:lang w:eastAsia="en-US"/>
              </w:rPr>
            </w:pPr>
            <w:r w:rsidRPr="00422A95">
              <w:rPr>
                <w:rFonts w:cs="Times New Roman"/>
                <w:sz w:val="20"/>
                <w:szCs w:val="20"/>
                <w:lang w:eastAsia="en-US"/>
              </w:rPr>
              <w:t xml:space="preserve">TABELLA 1 </w:t>
            </w:r>
            <w:r w:rsidRPr="00422A95">
              <w:rPr>
                <w:rFonts w:cs="Times New Roman" w:hint="cs"/>
                <w:sz w:val="20"/>
                <w:szCs w:val="20"/>
                <w:lang w:eastAsia="en-US"/>
              </w:rPr>
              <w:t>–</w:t>
            </w:r>
            <w:r w:rsidRPr="00422A95">
              <w:rPr>
                <w:rFonts w:cs="Times New Roman"/>
                <w:sz w:val="20"/>
                <w:szCs w:val="20"/>
                <w:lang w:eastAsia="en-US"/>
              </w:rPr>
              <w:t xml:space="preserve"> Studi utilizzati per la meta-analisi (elasticit</w:t>
            </w:r>
            <w:r w:rsidRPr="00422A95">
              <w:rPr>
                <w:rFonts w:cs="Times New Roman" w:hint="cs"/>
                <w:sz w:val="20"/>
                <w:szCs w:val="20"/>
                <w:lang w:eastAsia="en-US"/>
              </w:rPr>
              <w:t>à</w:t>
            </w:r>
            <w:r w:rsidRPr="00422A95">
              <w:rPr>
                <w:rFonts w:cs="Times New Roman"/>
                <w:sz w:val="20"/>
                <w:szCs w:val="20"/>
                <w:lang w:eastAsia="en-US"/>
              </w:rPr>
              <w:t xml:space="preserve"> al reddito in parentesi)</w:t>
            </w:r>
          </w:p>
        </w:tc>
      </w:tr>
      <w:tr w:rsidR="00054287" w:rsidTr="00054287">
        <w:tc>
          <w:tcPr>
            <w:tcW w:w="2250" w:type="dxa"/>
            <w:tcBorders>
              <w:top w:val="single" w:sz="4" w:space="0" w:color="00000A"/>
              <w:left w:val="nil"/>
              <w:bottom w:val="single" w:sz="4" w:space="0" w:color="00000A"/>
              <w:right w:val="nil"/>
            </w:tcBorders>
            <w:shd w:val="clear" w:color="auto" w:fill="FFFFFF"/>
            <w:vAlign w:val="bottom"/>
          </w:tcPr>
          <w:p w:rsidR="001E2806" w:rsidRDefault="00515A19">
            <w:pPr>
              <w:jc w:val="center"/>
              <w:rPr>
                <w:rFonts w:cs="Calibri"/>
                <w:b/>
                <w:bCs/>
                <w:color w:val="000000"/>
                <w:sz w:val="20"/>
                <w:szCs w:val="20"/>
                <w:lang w:val="en-GB" w:eastAsia="en-US"/>
              </w:rPr>
            </w:pPr>
            <w:r>
              <w:rPr>
                <w:rFonts w:cs="Calibri"/>
                <w:b/>
                <w:bCs/>
                <w:color w:val="000000"/>
                <w:sz w:val="20"/>
                <w:szCs w:val="20"/>
                <w:lang w:val="en-GB" w:eastAsia="en-US"/>
              </w:rPr>
              <w:t>Autore</w:t>
            </w:r>
          </w:p>
        </w:tc>
        <w:tc>
          <w:tcPr>
            <w:tcW w:w="810" w:type="dxa"/>
            <w:tcBorders>
              <w:top w:val="single" w:sz="4" w:space="0" w:color="00000A"/>
              <w:left w:val="nil"/>
              <w:bottom w:val="single" w:sz="4" w:space="0" w:color="00000A"/>
              <w:right w:val="nil"/>
            </w:tcBorders>
            <w:shd w:val="clear" w:color="auto" w:fill="FFFFFF"/>
            <w:vAlign w:val="bottom"/>
          </w:tcPr>
          <w:p w:rsidR="001E2806" w:rsidRDefault="00515A19">
            <w:pPr>
              <w:jc w:val="center"/>
              <w:rPr>
                <w:rFonts w:cs="Calibri"/>
                <w:b/>
                <w:bCs/>
                <w:color w:val="000000"/>
                <w:sz w:val="20"/>
                <w:szCs w:val="20"/>
                <w:lang w:val="en-GB" w:eastAsia="en-US"/>
              </w:rPr>
            </w:pPr>
            <w:r>
              <w:rPr>
                <w:rFonts w:cs="Calibri"/>
                <w:b/>
                <w:bCs/>
                <w:color w:val="000000"/>
                <w:sz w:val="20"/>
                <w:szCs w:val="20"/>
                <w:lang w:val="en-GB" w:eastAsia="en-US"/>
              </w:rPr>
              <w:t xml:space="preserve">Anno </w:t>
            </w:r>
          </w:p>
        </w:tc>
        <w:tc>
          <w:tcPr>
            <w:tcW w:w="4230" w:type="dxa"/>
            <w:tcBorders>
              <w:top w:val="single" w:sz="4" w:space="0" w:color="00000A"/>
              <w:left w:val="nil"/>
              <w:bottom w:val="single" w:sz="4" w:space="0" w:color="00000A"/>
              <w:right w:val="nil"/>
            </w:tcBorders>
            <w:shd w:val="clear" w:color="auto" w:fill="FFFFFF"/>
            <w:vAlign w:val="bottom"/>
          </w:tcPr>
          <w:p w:rsidR="001E2806" w:rsidRDefault="00515A19">
            <w:pPr>
              <w:jc w:val="center"/>
              <w:rPr>
                <w:rFonts w:cs="Calibri"/>
                <w:b/>
                <w:bCs/>
                <w:color w:val="000000"/>
                <w:sz w:val="20"/>
                <w:szCs w:val="20"/>
                <w:lang w:val="en-GB" w:eastAsia="en-US"/>
              </w:rPr>
            </w:pPr>
            <w:r>
              <w:rPr>
                <w:rFonts w:cs="Calibri"/>
                <w:b/>
                <w:bCs/>
                <w:color w:val="000000"/>
                <w:sz w:val="20"/>
                <w:szCs w:val="20"/>
                <w:lang w:val="en-GB" w:eastAsia="en-US"/>
              </w:rPr>
              <w:t xml:space="preserve">Collocazione editoriale </w:t>
            </w:r>
          </w:p>
        </w:tc>
        <w:tc>
          <w:tcPr>
            <w:tcW w:w="1530" w:type="dxa"/>
            <w:tcBorders>
              <w:top w:val="single" w:sz="4" w:space="0" w:color="00000A"/>
              <w:left w:val="nil"/>
              <w:bottom w:val="single" w:sz="4" w:space="0" w:color="00000A"/>
              <w:right w:val="nil"/>
            </w:tcBorders>
            <w:shd w:val="clear" w:color="auto" w:fill="FFFFFF"/>
            <w:vAlign w:val="bottom"/>
          </w:tcPr>
          <w:p w:rsidR="001E2806" w:rsidRDefault="00515A19">
            <w:pPr>
              <w:jc w:val="center"/>
              <w:rPr>
                <w:rFonts w:cs="Calibri"/>
                <w:b/>
                <w:bCs/>
                <w:color w:val="000000"/>
                <w:sz w:val="20"/>
                <w:szCs w:val="20"/>
                <w:lang w:val="en-GB" w:eastAsia="en-US"/>
              </w:rPr>
            </w:pPr>
            <w:r>
              <w:rPr>
                <w:rFonts w:cs="Calibri"/>
                <w:b/>
                <w:bCs/>
                <w:color w:val="000000"/>
                <w:sz w:val="20"/>
                <w:szCs w:val="20"/>
                <w:lang w:val="en-GB" w:eastAsia="en-US"/>
              </w:rPr>
              <w:t>Paese</w:t>
            </w:r>
          </w:p>
        </w:tc>
        <w:tc>
          <w:tcPr>
            <w:tcW w:w="7650" w:type="dxa"/>
            <w:tcBorders>
              <w:top w:val="single" w:sz="4" w:space="0" w:color="00000A"/>
              <w:left w:val="nil"/>
              <w:bottom w:val="single" w:sz="4" w:space="0" w:color="00000A"/>
              <w:right w:val="nil"/>
            </w:tcBorders>
            <w:shd w:val="clear" w:color="auto" w:fill="FFFFFF"/>
            <w:vAlign w:val="bottom"/>
          </w:tcPr>
          <w:p w:rsidR="001E2806" w:rsidRDefault="00515A19">
            <w:pPr>
              <w:jc w:val="center"/>
              <w:rPr>
                <w:rFonts w:cs="Calibri"/>
                <w:b/>
                <w:bCs/>
                <w:color w:val="000000"/>
                <w:sz w:val="20"/>
                <w:szCs w:val="20"/>
                <w:lang w:val="en-GB" w:eastAsia="en-US"/>
              </w:rPr>
            </w:pPr>
            <w:r>
              <w:rPr>
                <w:rFonts w:cs="Calibri"/>
                <w:b/>
                <w:bCs/>
                <w:color w:val="000000"/>
                <w:sz w:val="20"/>
                <w:szCs w:val="20"/>
                <w:lang w:val="en-GB" w:eastAsia="en-US"/>
              </w:rPr>
              <w:t>Elasticità</w:t>
            </w:r>
          </w:p>
        </w:tc>
      </w:tr>
      <w:tr w:rsidR="00054287" w:rsidTr="00054287">
        <w:tc>
          <w:tcPr>
            <w:tcW w:w="2250" w:type="dxa"/>
            <w:tcBorders>
              <w:top w:val="single" w:sz="4" w:space="0" w:color="00000A"/>
              <w:left w:val="nil"/>
              <w:bottom w:val="nil"/>
              <w:right w:val="nil"/>
            </w:tcBorders>
            <w:shd w:val="clear" w:color="auto" w:fill="FFFFFF"/>
            <w:vAlign w:val="center"/>
          </w:tcPr>
          <w:p w:rsidR="00054287" w:rsidRDefault="00054287" w:rsidP="00054287">
            <w:pPr>
              <w:widowControl/>
              <w:suppressAutoHyphens w:val="0"/>
              <w:rPr>
                <w:color w:val="000000"/>
                <w:sz w:val="20"/>
                <w:szCs w:val="20"/>
              </w:rPr>
            </w:pPr>
            <w:r>
              <w:rPr>
                <w:color w:val="000000"/>
                <w:sz w:val="20"/>
                <w:szCs w:val="20"/>
                <w:lang w:val="en-GB"/>
              </w:rPr>
              <w:t>Timmer and Alderman</w:t>
            </w:r>
          </w:p>
        </w:tc>
        <w:tc>
          <w:tcPr>
            <w:tcW w:w="810" w:type="dxa"/>
            <w:tcBorders>
              <w:top w:val="single" w:sz="4" w:space="0" w:color="00000A"/>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1979</w:t>
            </w:r>
          </w:p>
        </w:tc>
        <w:tc>
          <w:tcPr>
            <w:tcW w:w="4230" w:type="dxa"/>
            <w:tcBorders>
              <w:top w:val="single" w:sz="4" w:space="0" w:color="00000A"/>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Agriculture and Applied Economics Association</w:t>
            </w:r>
          </w:p>
        </w:tc>
        <w:tc>
          <w:tcPr>
            <w:tcW w:w="1530" w:type="dxa"/>
            <w:tcBorders>
              <w:top w:val="single" w:sz="4" w:space="0" w:color="00000A"/>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Indonesia</w:t>
            </w:r>
          </w:p>
        </w:tc>
        <w:tc>
          <w:tcPr>
            <w:tcW w:w="7650" w:type="dxa"/>
            <w:tcBorders>
              <w:top w:val="single" w:sz="4" w:space="0" w:color="00000A"/>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(0.47)</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Behrman and Wolf</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1984</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Journal of Development Economics</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rFonts w:cs="Calibri"/>
                <w:color w:val="000000"/>
                <w:sz w:val="20"/>
                <w:szCs w:val="20"/>
              </w:rPr>
              <w:t>Calorie (0.14), Proteine (0.12), Ferro (0.12),Vitamina A (0.13)</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Behrman and Deolaliker</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1987</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Journal of Political Economy</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(0.17), Proteine (0.06), Ferro (-0.11)</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Behrman and Deolaliker</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1990</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Journal of Human Resouce</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(-0.04), Proteine (-0.04), Ferro (-0.06)</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Bahrgava</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1991</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Royal Statistical Society</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(0.06), Proteine (0.10), Ferro (0.01)</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Ye and Taylor</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1995</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Economic Development and Cultural Change</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China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(0.28),Proteine (0.22)</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Grimard</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1996</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The Pakistan Development Review</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Pakistan</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(0.47)</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Subramanian and Deaton</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1996</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Journal of Political Economy</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(0.36)</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Gibson and Rozelle</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2002</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Journal of Development Economics</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New Guinea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(0.52)</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Liaskos and Lazaridis</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2003</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Agriculture Economics Review</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Greece</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(0.28), Proteine (0.28), Grasso (0.39), Ferro (0.18)</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 xml:space="preserve">Skoufias </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2003</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World Development Review</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Indonesia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(0.45)</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Abdulai and Aubert</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2004</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Food Policy</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Tanzania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(0.52)</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Abdulai and Aubert</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2004</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Agricultural Economics</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Tanzania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rFonts w:cs="Calibri"/>
                <w:color w:val="000000"/>
                <w:sz w:val="20"/>
                <w:szCs w:val="20"/>
              </w:rPr>
              <w:t>Calorie (0.42), Proteine (0.43), Grasso (0.92), Ferro (0.30), Zinco (0.46), Vitamina A (0.38)</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Aromolaran</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2004</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Food Policy</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Nigeria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(0.19)</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Sinha</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2005</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Working Paper</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(0.57)</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Jha et al.</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2006</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Working Paper</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(0.06), Proteine (0.19), Ferro (0.15)</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Akinleye and Rahji</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2007</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Agrekon</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Nigeria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(-3.13), Proteine (-1.3), Grasso (-14.4), Ferro (-2.9)</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Pereda and Alves</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2008</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Working Paper</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Brazil</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Proteine (-0.01), Grasso (-0.01)</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 xml:space="preserve">Skoufias et al. </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2009</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 xml:space="preserve">Agriculture Economics </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Mexico</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(0.44)</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Babatunde et al.</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2010</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Agriculture Science</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Nigeria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(0.02)</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Ecker and Qaim</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2010</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World Development</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Malawi</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rFonts w:cs="Calibri"/>
                <w:color w:val="000000"/>
                <w:sz w:val="20"/>
                <w:szCs w:val="20"/>
              </w:rPr>
              <w:t>Calorie (0.92), Proteine (0.92), Ferro (0.91), Zinco (0.91),Vitamina A (0.82)</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Dimova et al.</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2012</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Working Paper</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Bulgaria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(0.85), Proteine (0.94) , Grasso (0.86)</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Gahia et al.</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2012</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Working Paper</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Calorie (0.41), Proteine (0.43), Grasso (0.75)</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 xml:space="preserve">Skoufias et al. </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2012</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World Bank Economic Review</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Indonesia</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rFonts w:cs="Calibri"/>
                <w:color w:val="000000"/>
                <w:sz w:val="20"/>
                <w:szCs w:val="20"/>
              </w:rPr>
              <w:t>Calorie (0.14), Proteine (0.19), Grasso (0.5), Ferro (0.16), VitaminA (0.13)</w:t>
            </w:r>
          </w:p>
        </w:tc>
      </w:tr>
      <w:tr w:rsidR="00054287" w:rsidTr="00054287">
        <w:tc>
          <w:tcPr>
            <w:tcW w:w="22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Ulimwengu et al.</w:t>
            </w:r>
          </w:p>
        </w:tc>
        <w:tc>
          <w:tcPr>
            <w:tcW w:w="81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2012</w:t>
            </w:r>
          </w:p>
        </w:tc>
        <w:tc>
          <w:tcPr>
            <w:tcW w:w="423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color w:val="000000"/>
                <w:sz w:val="20"/>
                <w:szCs w:val="20"/>
                <w:lang w:val="en-GB"/>
              </w:rPr>
              <w:t>Working Paper</w:t>
            </w:r>
          </w:p>
        </w:tc>
        <w:tc>
          <w:tcPr>
            <w:tcW w:w="1530" w:type="dxa"/>
            <w:tcBorders>
              <w:top w:val="nil"/>
              <w:left w:val="nil"/>
              <w:bottom w:val="nil"/>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Congo</w:t>
            </w:r>
          </w:p>
        </w:tc>
        <w:tc>
          <w:tcPr>
            <w:tcW w:w="7650" w:type="dxa"/>
            <w:tcBorders>
              <w:top w:val="nil"/>
              <w:left w:val="nil"/>
              <w:bottom w:val="nil"/>
              <w:right w:val="nil"/>
            </w:tcBorders>
            <w:shd w:val="clear" w:color="auto" w:fill="FFFFFF"/>
            <w:vAlign w:val="center"/>
          </w:tcPr>
          <w:p w:rsidR="00054287" w:rsidRDefault="00054287" w:rsidP="00054287">
            <w:pPr>
              <w:rPr>
                <w:color w:val="000000"/>
                <w:sz w:val="20"/>
                <w:szCs w:val="20"/>
              </w:rPr>
            </w:pPr>
            <w:r>
              <w:rPr>
                <w:rFonts w:cs="Calibri"/>
                <w:color w:val="000000"/>
                <w:sz w:val="20"/>
                <w:szCs w:val="20"/>
              </w:rPr>
              <w:t>Calorie (0.68), Proteine (0.64), Ferro (0.66), Zinco (0.58), Vitamina A (0.59)</w:t>
            </w:r>
          </w:p>
        </w:tc>
      </w:tr>
      <w:tr w:rsidR="00054287" w:rsidTr="00054287">
        <w:tc>
          <w:tcPr>
            <w:tcW w:w="2250" w:type="dxa"/>
            <w:tcBorders>
              <w:top w:val="nil"/>
              <w:left w:val="nil"/>
              <w:bottom w:val="single" w:sz="4" w:space="0" w:color="00000A"/>
              <w:right w:val="nil"/>
            </w:tcBorders>
            <w:shd w:val="clear" w:color="auto" w:fill="FFFFFF"/>
            <w:vAlign w:val="center"/>
          </w:tcPr>
          <w:p w:rsidR="00054287" w:rsidRDefault="00054287" w:rsidP="00054287">
            <w:pPr>
              <w:rPr>
                <w:color w:val="000000"/>
                <w:sz w:val="20"/>
                <w:szCs w:val="20"/>
              </w:rPr>
            </w:pPr>
            <w:r>
              <w:rPr>
                <w:color w:val="000000"/>
                <w:sz w:val="20"/>
                <w:szCs w:val="20"/>
                <w:lang w:val="en-GB"/>
              </w:rPr>
              <w:t>Torres</w:t>
            </w:r>
          </w:p>
        </w:tc>
        <w:tc>
          <w:tcPr>
            <w:tcW w:w="810" w:type="dxa"/>
            <w:tcBorders>
              <w:top w:val="nil"/>
              <w:left w:val="nil"/>
              <w:bottom w:val="single" w:sz="4" w:space="0" w:color="00000A"/>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2013</w:t>
            </w:r>
          </w:p>
        </w:tc>
        <w:tc>
          <w:tcPr>
            <w:tcW w:w="4230" w:type="dxa"/>
            <w:tcBorders>
              <w:top w:val="nil"/>
              <w:left w:val="nil"/>
              <w:bottom w:val="single" w:sz="4" w:space="0" w:color="00000A"/>
              <w:right w:val="nil"/>
            </w:tcBorders>
            <w:shd w:val="clear" w:color="auto" w:fill="FFFFFF"/>
            <w:vAlign w:val="center"/>
          </w:tcPr>
          <w:p w:rsidR="00054287" w:rsidRDefault="00054287" w:rsidP="00054287">
            <w:pPr>
              <w:rPr>
                <w:color w:val="000000"/>
                <w:sz w:val="20"/>
                <w:szCs w:val="20"/>
              </w:rPr>
            </w:pPr>
            <w:r>
              <w:rPr>
                <w:color w:val="000000"/>
                <w:sz w:val="20"/>
                <w:szCs w:val="20"/>
                <w:lang w:val="en-GB"/>
              </w:rPr>
              <w:t>Agriculture and Applied Economics Association</w:t>
            </w:r>
          </w:p>
        </w:tc>
        <w:tc>
          <w:tcPr>
            <w:tcW w:w="1530" w:type="dxa"/>
            <w:tcBorders>
              <w:top w:val="nil"/>
              <w:left w:val="nil"/>
              <w:bottom w:val="single" w:sz="4" w:space="0" w:color="00000A"/>
              <w:right w:val="nil"/>
            </w:tcBorders>
            <w:shd w:val="clear" w:color="auto" w:fill="FFFFFF"/>
            <w:vAlign w:val="center"/>
          </w:tcPr>
          <w:p w:rsidR="00054287" w:rsidRDefault="00054287" w:rsidP="00054287">
            <w:pPr>
              <w:jc w:val="center"/>
              <w:rPr>
                <w:color w:val="000000"/>
                <w:sz w:val="20"/>
                <w:szCs w:val="20"/>
              </w:rPr>
            </w:pPr>
            <w:r>
              <w:rPr>
                <w:color w:val="000000"/>
                <w:sz w:val="20"/>
                <w:szCs w:val="20"/>
                <w:lang w:val="en-GB"/>
              </w:rPr>
              <w:t>Mexico</w:t>
            </w:r>
          </w:p>
        </w:tc>
        <w:tc>
          <w:tcPr>
            <w:tcW w:w="7650" w:type="dxa"/>
            <w:tcBorders>
              <w:top w:val="nil"/>
              <w:left w:val="nil"/>
              <w:bottom w:val="single" w:sz="4" w:space="0" w:color="00000A"/>
              <w:right w:val="nil"/>
            </w:tcBorders>
            <w:shd w:val="clear" w:color="auto" w:fill="FFFFFF"/>
            <w:vAlign w:val="center"/>
          </w:tcPr>
          <w:p w:rsidR="00054287" w:rsidRDefault="00054287" w:rsidP="00054287">
            <w:pPr>
              <w:rPr>
                <w:color w:val="000000"/>
                <w:sz w:val="20"/>
                <w:szCs w:val="20"/>
              </w:rPr>
            </w:pPr>
            <w:r>
              <w:rPr>
                <w:rFonts w:cs="Calibri"/>
                <w:color w:val="000000"/>
                <w:sz w:val="20"/>
                <w:szCs w:val="20"/>
              </w:rPr>
              <w:t>Calorie (0.99), Proteine (1.0), Ferro (1.0), Zinco (1.0), Vitamina A (1.0)</w:t>
            </w:r>
          </w:p>
        </w:tc>
      </w:tr>
    </w:tbl>
    <w:p w:rsidR="001E2806" w:rsidRDefault="001E2806">
      <w:pPr>
        <w:spacing w:before="120" w:after="120"/>
        <w:rPr>
          <w:lang w:val="en-GB"/>
        </w:rPr>
      </w:pPr>
    </w:p>
    <w:p w:rsidR="001E2806" w:rsidRDefault="001E2806">
      <w:pPr>
        <w:spacing w:line="360" w:lineRule="auto"/>
        <w:jc w:val="both"/>
        <w:rPr>
          <w:lang w:val="en-GB"/>
        </w:rPr>
      </w:pPr>
    </w:p>
    <w:p w:rsidR="00E70B89" w:rsidRDefault="00E70B89">
      <w:pPr>
        <w:spacing w:line="360" w:lineRule="auto"/>
        <w:jc w:val="both"/>
        <w:rPr>
          <w:lang w:val="en-GB"/>
        </w:rPr>
      </w:pPr>
    </w:p>
    <w:p w:rsidR="00E70B89" w:rsidRDefault="00E70B89">
      <w:pPr>
        <w:spacing w:line="360" w:lineRule="auto"/>
        <w:jc w:val="both"/>
        <w:rPr>
          <w:lang w:val="en-GB"/>
        </w:rPr>
      </w:pPr>
    </w:p>
    <w:p w:rsidR="00054287" w:rsidRDefault="00054287">
      <w:pPr>
        <w:spacing w:line="360" w:lineRule="auto"/>
        <w:jc w:val="both"/>
        <w:rPr>
          <w:lang w:val="en-GB"/>
        </w:rPr>
        <w:sectPr w:rsidR="00054287" w:rsidSect="00054287">
          <w:pgSz w:w="16838" w:h="11906" w:orient="landscape"/>
          <w:pgMar w:top="1134" w:right="1134" w:bottom="1134" w:left="1134" w:header="0" w:footer="0" w:gutter="0"/>
          <w:cols w:space="720"/>
          <w:formProt w:val="0"/>
          <w:docGrid w:linePitch="326" w:charSpace="-6145"/>
        </w:sectPr>
      </w:pPr>
    </w:p>
    <w:p w:rsidR="00E70B89" w:rsidRDefault="00E70B89">
      <w:pPr>
        <w:spacing w:line="360" w:lineRule="auto"/>
        <w:jc w:val="both"/>
        <w:rPr>
          <w:lang w:val="en-GB"/>
        </w:rPr>
      </w:pPr>
    </w:p>
    <w:p w:rsidR="00E70B89" w:rsidRDefault="00E70B89">
      <w:pPr>
        <w:spacing w:line="360" w:lineRule="auto"/>
        <w:jc w:val="both"/>
        <w:rPr>
          <w:lang w:val="en-GB"/>
        </w:rPr>
      </w:pPr>
    </w:p>
    <w:p w:rsidR="00E70B89" w:rsidRDefault="00E70B89">
      <w:pPr>
        <w:spacing w:line="360" w:lineRule="auto"/>
        <w:jc w:val="both"/>
        <w:rPr>
          <w:lang w:val="en-GB"/>
        </w:rPr>
      </w:pPr>
    </w:p>
    <w:p w:rsidR="00E70B89" w:rsidRDefault="00E70B89">
      <w:pPr>
        <w:spacing w:line="360" w:lineRule="auto"/>
        <w:jc w:val="both"/>
        <w:rPr>
          <w:lang w:val="en-GB"/>
        </w:rPr>
      </w:pPr>
    </w:p>
    <w:p w:rsidR="00E70B89" w:rsidRDefault="00E70B89">
      <w:pPr>
        <w:spacing w:line="360" w:lineRule="auto"/>
        <w:jc w:val="both"/>
        <w:rPr>
          <w:lang w:val="en-GB"/>
        </w:rPr>
      </w:pPr>
    </w:p>
    <w:tbl>
      <w:tblPr>
        <w:tblW w:w="0" w:type="auto"/>
        <w:jc w:val="center"/>
        <w:tblBorders>
          <w:top w:val="nil"/>
          <w:left w:val="nil"/>
          <w:bottom w:val="single" w:sz="6" w:space="0" w:color="00000A"/>
          <w:right w:val="nil"/>
          <w:insideH w:val="single" w:sz="6" w:space="0" w:color="00000A"/>
          <w:insideV w:val="nil"/>
        </w:tblBorders>
        <w:tblCellMar>
          <w:left w:w="144" w:type="dxa"/>
          <w:right w:w="144" w:type="dxa"/>
        </w:tblCellMar>
        <w:tblLook w:val="0000" w:firstRow="0" w:lastRow="0" w:firstColumn="0" w:lastColumn="0" w:noHBand="0" w:noVBand="0"/>
      </w:tblPr>
      <w:tblGrid>
        <w:gridCol w:w="1487"/>
        <w:gridCol w:w="2127"/>
        <w:gridCol w:w="5709"/>
      </w:tblGrid>
      <w:tr w:rsidR="001E2806">
        <w:trPr>
          <w:jc w:val="center"/>
        </w:trPr>
        <w:tc>
          <w:tcPr>
            <w:tcW w:w="9323" w:type="dxa"/>
            <w:gridSpan w:val="3"/>
            <w:tcBorders>
              <w:top w:val="nil"/>
              <w:left w:val="nil"/>
              <w:bottom w:val="single" w:sz="6" w:space="0" w:color="00000A"/>
              <w:right w:val="nil"/>
            </w:tcBorders>
            <w:shd w:val="clear" w:color="auto" w:fill="FFFFFF"/>
          </w:tcPr>
          <w:p w:rsidR="001E2806" w:rsidRDefault="00515A19">
            <w:pPr>
              <w:spacing w:before="79" w:after="79"/>
              <w:rPr>
                <w:sz w:val="20"/>
                <w:szCs w:val="20"/>
                <w:lang w:val="en-GB"/>
              </w:rPr>
            </w:pPr>
            <w:r>
              <w:rPr>
                <w:rFonts w:cs="Times New Roman"/>
                <w:sz w:val="20"/>
                <w:szCs w:val="20"/>
                <w:lang w:val="en-GB"/>
              </w:rPr>
              <w:t xml:space="preserve">TABELLA 2 – </w:t>
            </w:r>
            <w:r>
              <w:rPr>
                <w:sz w:val="20"/>
                <w:szCs w:val="20"/>
                <w:lang w:val="en-GB"/>
              </w:rPr>
              <w:t xml:space="preserve">Descrizione delle variabili </w:t>
            </w:r>
          </w:p>
        </w:tc>
      </w:tr>
      <w:tr w:rsidR="001E2806">
        <w:trPr>
          <w:jc w:val="center"/>
        </w:trPr>
        <w:tc>
          <w:tcPr>
            <w:tcW w:w="1487" w:type="dxa"/>
            <w:tcBorders>
              <w:top w:val="single" w:sz="6" w:space="0" w:color="00000A"/>
              <w:left w:val="nil"/>
              <w:bottom w:val="single" w:sz="6" w:space="0" w:color="00000A"/>
              <w:right w:val="nil"/>
            </w:tcBorders>
            <w:shd w:val="clear" w:color="auto" w:fill="FFFFFF"/>
          </w:tcPr>
          <w:p w:rsidR="001E2806" w:rsidRDefault="00515A19">
            <w:pPr>
              <w:rPr>
                <w:rFonts w:cs="Times New Roman"/>
                <w:sz w:val="20"/>
                <w:szCs w:val="20"/>
                <w:lang w:val="en-GB"/>
              </w:rPr>
            </w:pPr>
            <w:r>
              <w:rPr>
                <w:rFonts w:cs="Times New Roman"/>
                <w:sz w:val="20"/>
                <w:szCs w:val="20"/>
                <w:lang w:val="en-GB"/>
              </w:rPr>
              <w:t>Categorie</w:t>
            </w:r>
          </w:p>
        </w:tc>
        <w:tc>
          <w:tcPr>
            <w:tcW w:w="2127" w:type="dxa"/>
            <w:tcBorders>
              <w:top w:val="single" w:sz="6" w:space="0" w:color="00000A"/>
              <w:left w:val="nil"/>
              <w:bottom w:val="single" w:sz="6" w:space="0" w:color="00000A"/>
              <w:right w:val="nil"/>
            </w:tcBorders>
            <w:shd w:val="clear" w:color="auto" w:fill="FFFFFF"/>
          </w:tcPr>
          <w:p w:rsidR="001E2806" w:rsidRDefault="00515A19">
            <w:pPr>
              <w:rPr>
                <w:rFonts w:cs="Times New Roman"/>
                <w:sz w:val="20"/>
                <w:szCs w:val="20"/>
                <w:lang w:val="en-GB"/>
              </w:rPr>
            </w:pPr>
            <w:r>
              <w:rPr>
                <w:rFonts w:cs="Times New Roman"/>
                <w:sz w:val="20"/>
                <w:szCs w:val="20"/>
                <w:lang w:val="en-GB"/>
              </w:rPr>
              <w:t>Variabili</w:t>
            </w:r>
          </w:p>
        </w:tc>
        <w:tc>
          <w:tcPr>
            <w:tcW w:w="5709" w:type="dxa"/>
            <w:tcBorders>
              <w:top w:val="single" w:sz="6" w:space="0" w:color="00000A"/>
              <w:left w:val="nil"/>
              <w:bottom w:val="single" w:sz="6"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Descrizione</w:t>
            </w:r>
          </w:p>
        </w:tc>
      </w:tr>
      <w:tr w:rsidR="001E2806" w:rsidRPr="00E707B5">
        <w:trPr>
          <w:jc w:val="center"/>
        </w:trPr>
        <w:tc>
          <w:tcPr>
            <w:tcW w:w="1487" w:type="dxa"/>
            <w:tcBorders>
              <w:top w:val="single" w:sz="6"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Model</w:t>
            </w:r>
          </w:p>
        </w:tc>
        <w:tc>
          <w:tcPr>
            <w:tcW w:w="2127" w:type="dxa"/>
            <w:tcBorders>
              <w:top w:val="single" w:sz="6"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Income</w:t>
            </w:r>
          </w:p>
        </w:tc>
        <w:tc>
          <w:tcPr>
            <w:tcW w:w="5709" w:type="dxa"/>
            <w:tcBorders>
              <w:top w:val="single" w:sz="6"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income is adopted (0 for expenditure)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Linear</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linear model is adopted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Q-AIDS</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Q-AIDS model is adopted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570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rsidRPr="00E707B5">
        <w:trPr>
          <w:jc w:val="center"/>
        </w:trPr>
        <w:tc>
          <w:tcPr>
            <w:tcW w:w="148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Prestige</w:t>
            </w: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Unpublished Paper</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gray literature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Impact Factor</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the reviews has IF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570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rsidRPr="00E707B5">
        <w:trPr>
          <w:jc w:val="center"/>
        </w:trPr>
        <w:tc>
          <w:tcPr>
            <w:tcW w:w="148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Population</w:t>
            </w: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 xml:space="preserve">Rural </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referred to rural population (0 otherwise)</w:t>
            </w:r>
          </w:p>
        </w:tc>
      </w:tr>
      <w:tr w:rsidR="00BE1CF6" w:rsidRPr="00E707B5">
        <w:trPr>
          <w:jc w:val="center"/>
        </w:trPr>
        <w:tc>
          <w:tcPr>
            <w:tcW w:w="1487" w:type="dxa"/>
            <w:tcBorders>
              <w:top w:val="nil"/>
              <w:left w:val="nil"/>
              <w:bottom w:val="nil"/>
              <w:right w:val="nil"/>
            </w:tcBorders>
            <w:shd w:val="clear" w:color="auto" w:fill="FFFFFF"/>
          </w:tcPr>
          <w:p w:rsidR="00BE1CF6" w:rsidRDefault="00BE1CF6">
            <w:pPr>
              <w:rPr>
                <w:rFonts w:cs="Times New Roman"/>
                <w:sz w:val="20"/>
                <w:szCs w:val="20"/>
                <w:lang w:val="en-GB"/>
              </w:rPr>
            </w:pPr>
          </w:p>
        </w:tc>
        <w:tc>
          <w:tcPr>
            <w:tcW w:w="2127" w:type="dxa"/>
            <w:tcBorders>
              <w:top w:val="nil"/>
              <w:left w:val="nil"/>
              <w:bottom w:val="nil"/>
              <w:right w:val="nil"/>
            </w:tcBorders>
            <w:shd w:val="clear" w:color="auto" w:fill="FFFFFF"/>
          </w:tcPr>
          <w:p w:rsidR="00BE1CF6" w:rsidRDefault="00BE1CF6">
            <w:pPr>
              <w:rPr>
                <w:rFonts w:cs="Times New Roman"/>
                <w:sz w:val="20"/>
                <w:szCs w:val="20"/>
                <w:lang w:val="en-GB"/>
              </w:rPr>
            </w:pPr>
          </w:p>
        </w:tc>
        <w:tc>
          <w:tcPr>
            <w:tcW w:w="5709" w:type="dxa"/>
            <w:tcBorders>
              <w:top w:val="nil"/>
              <w:left w:val="nil"/>
              <w:bottom w:val="nil"/>
              <w:right w:val="nil"/>
            </w:tcBorders>
            <w:shd w:val="clear" w:color="auto" w:fill="FFFFFF"/>
          </w:tcPr>
          <w:p w:rsidR="00BE1CF6" w:rsidRDefault="00BE1CF6">
            <w:pPr>
              <w:tabs>
                <w:tab w:val="decimal" w:pos="538"/>
              </w:tabs>
              <w:rPr>
                <w:rFonts w:cs="Times New Roman"/>
                <w:sz w:val="20"/>
                <w:szCs w:val="20"/>
                <w:lang w:val="en-GB"/>
              </w:rPr>
            </w:pPr>
          </w:p>
        </w:tc>
      </w:tr>
      <w:tr w:rsidR="001E2806" w:rsidRPr="00E707B5">
        <w:trPr>
          <w:jc w:val="center"/>
        </w:trPr>
        <w:tc>
          <w:tcPr>
            <w:tcW w:w="1487" w:type="dxa"/>
            <w:tcBorders>
              <w:top w:val="nil"/>
              <w:left w:val="nil"/>
              <w:bottom w:val="nil"/>
              <w:right w:val="nil"/>
            </w:tcBorders>
            <w:shd w:val="clear" w:color="auto" w:fill="FFFFFF"/>
          </w:tcPr>
          <w:p w:rsidR="001E2806" w:rsidRDefault="00BE1CF6">
            <w:pPr>
              <w:rPr>
                <w:rFonts w:cs="Times New Roman"/>
                <w:sz w:val="20"/>
                <w:szCs w:val="20"/>
                <w:lang w:val="en-GB"/>
              </w:rPr>
            </w:pPr>
            <w:r>
              <w:rPr>
                <w:rFonts w:cs="Times New Roman"/>
                <w:sz w:val="20"/>
                <w:szCs w:val="20"/>
                <w:lang w:val="en-GB"/>
              </w:rPr>
              <w:t>Region</w:t>
            </w: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Africa</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referred to Africa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Asia</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referred to Asia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South America</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referred to South America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570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rsidRPr="00E707B5">
        <w:trPr>
          <w:jc w:val="center"/>
        </w:trPr>
        <w:tc>
          <w:tcPr>
            <w:tcW w:w="148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 xml:space="preserve">Data </w:t>
            </w: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Panel</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panel data (0 otherwise)</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Number of Years</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Count variable: Number of years considered in the study</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Sample_size</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Continuous variable: Number of observations in the study</w:t>
            </w:r>
          </w:p>
        </w:tc>
      </w:tr>
      <w:tr w:rsidR="001E2806" w:rsidRPr="00E707B5">
        <w:trPr>
          <w:jc w:val="center"/>
        </w:trPr>
        <w:tc>
          <w:tcPr>
            <w:tcW w:w="1487"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Weekly</w:t>
            </w:r>
          </w:p>
        </w:tc>
        <w:tc>
          <w:tcPr>
            <w:tcW w:w="570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data have weekly frequency (0 otherwise)</w:t>
            </w:r>
          </w:p>
        </w:tc>
      </w:tr>
      <w:tr w:rsidR="001E2806" w:rsidRPr="00E707B5">
        <w:trPr>
          <w:jc w:val="center"/>
        </w:trPr>
        <w:tc>
          <w:tcPr>
            <w:tcW w:w="1487" w:type="dxa"/>
            <w:tcBorders>
              <w:top w:val="nil"/>
              <w:left w:val="nil"/>
              <w:bottom w:val="single" w:sz="6" w:space="0" w:color="00000A"/>
              <w:right w:val="nil"/>
            </w:tcBorders>
            <w:shd w:val="clear" w:color="auto" w:fill="FFFFFF"/>
          </w:tcPr>
          <w:p w:rsidR="001E2806" w:rsidRDefault="001E2806">
            <w:pPr>
              <w:rPr>
                <w:rFonts w:cs="Times New Roman"/>
                <w:sz w:val="20"/>
                <w:szCs w:val="20"/>
                <w:lang w:val="en-GB"/>
              </w:rPr>
            </w:pPr>
          </w:p>
        </w:tc>
        <w:tc>
          <w:tcPr>
            <w:tcW w:w="2127" w:type="dxa"/>
            <w:tcBorders>
              <w:top w:val="nil"/>
              <w:left w:val="nil"/>
              <w:bottom w:val="single" w:sz="6" w:space="0" w:color="00000A"/>
              <w:right w:val="nil"/>
            </w:tcBorders>
            <w:shd w:val="clear" w:color="auto" w:fill="FFFFFF"/>
          </w:tcPr>
          <w:p w:rsidR="001E2806" w:rsidRDefault="00515A19">
            <w:pPr>
              <w:rPr>
                <w:rFonts w:cs="Times New Roman"/>
                <w:sz w:val="20"/>
                <w:szCs w:val="20"/>
                <w:lang w:val="en-GB"/>
              </w:rPr>
            </w:pPr>
            <w:r>
              <w:rPr>
                <w:rFonts w:cs="Times New Roman"/>
                <w:sz w:val="20"/>
                <w:szCs w:val="20"/>
                <w:lang w:val="en-GB"/>
              </w:rPr>
              <w:t>Monthly</w:t>
            </w:r>
          </w:p>
        </w:tc>
        <w:tc>
          <w:tcPr>
            <w:tcW w:w="5709" w:type="dxa"/>
            <w:tcBorders>
              <w:top w:val="nil"/>
              <w:left w:val="nil"/>
              <w:bottom w:val="single" w:sz="6"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Dummy variable: 1 if data have monthly frequency (0 otherwise)</w:t>
            </w:r>
          </w:p>
        </w:tc>
      </w:tr>
    </w:tbl>
    <w:p w:rsidR="001E2806" w:rsidRDefault="00515A19" w:rsidP="00054287">
      <w:pPr>
        <w:spacing w:line="360" w:lineRule="auto"/>
        <w:ind w:left="2127" w:firstLine="709"/>
        <w:jc w:val="both"/>
        <w:rPr>
          <w:rFonts w:cs="Times New Roman"/>
          <w:sz w:val="20"/>
          <w:szCs w:val="20"/>
          <w:lang w:val="en-GB"/>
        </w:rPr>
      </w:pPr>
      <w:r>
        <w:rPr>
          <w:rFonts w:cs="Times New Roman"/>
          <w:sz w:val="20"/>
          <w:szCs w:val="20"/>
          <w:lang w:val="en-GB"/>
        </w:rPr>
        <w:t xml:space="preserve">Q-AIDS: Quasi—almost ideal demand system. </w:t>
      </w:r>
    </w:p>
    <w:p w:rsidR="001E2806" w:rsidRDefault="001E2806">
      <w:pPr>
        <w:pStyle w:val="ListParagraph"/>
        <w:spacing w:after="0" w:line="360" w:lineRule="auto"/>
        <w:jc w:val="both"/>
      </w:pPr>
    </w:p>
    <w:p w:rsidR="001E2806" w:rsidRDefault="001E2806">
      <w:pPr>
        <w:pStyle w:val="ListParagraph"/>
        <w:spacing w:after="0" w:line="360" w:lineRule="auto"/>
        <w:ind w:left="0"/>
        <w:jc w:val="both"/>
      </w:pPr>
    </w:p>
    <w:p w:rsidR="001E2806" w:rsidRDefault="001E2806">
      <w:pPr>
        <w:spacing w:line="360" w:lineRule="auto"/>
        <w:rPr>
          <w:lang w:val="en-GB"/>
        </w:rPr>
      </w:pPr>
    </w:p>
    <w:p w:rsidR="00054287" w:rsidRDefault="00054287">
      <w:pPr>
        <w:spacing w:line="360" w:lineRule="auto"/>
        <w:rPr>
          <w:lang w:val="en-GB"/>
        </w:rPr>
      </w:pPr>
    </w:p>
    <w:p w:rsidR="00054287" w:rsidRDefault="00054287">
      <w:pPr>
        <w:spacing w:line="360" w:lineRule="auto"/>
        <w:rPr>
          <w:lang w:val="en-GB"/>
        </w:rPr>
      </w:pPr>
    </w:p>
    <w:p w:rsidR="00054287" w:rsidRDefault="00054287">
      <w:pPr>
        <w:spacing w:line="360" w:lineRule="auto"/>
        <w:rPr>
          <w:lang w:val="en-GB"/>
        </w:rPr>
      </w:pPr>
    </w:p>
    <w:tbl>
      <w:tblPr>
        <w:tblW w:w="0" w:type="auto"/>
        <w:tblBorders>
          <w:top w:val="nil"/>
          <w:left w:val="nil"/>
          <w:bottom w:val="nil"/>
          <w:right w:val="nil"/>
          <w:insideH w:val="nil"/>
          <w:insideV w:val="nil"/>
        </w:tblBorders>
        <w:tblCellMar>
          <w:left w:w="144" w:type="dxa"/>
          <w:right w:w="144" w:type="dxa"/>
        </w:tblCellMar>
        <w:tblLook w:val="0000" w:firstRow="0" w:lastRow="0" w:firstColumn="0" w:lastColumn="0" w:noHBand="0" w:noVBand="0"/>
      </w:tblPr>
      <w:tblGrid>
        <w:gridCol w:w="3735"/>
        <w:gridCol w:w="1605"/>
        <w:gridCol w:w="1343"/>
        <w:gridCol w:w="1479"/>
        <w:gridCol w:w="1476"/>
      </w:tblGrid>
      <w:tr w:rsidR="001E2806">
        <w:tc>
          <w:tcPr>
            <w:tcW w:w="9638" w:type="dxa"/>
            <w:gridSpan w:val="5"/>
            <w:tcBorders>
              <w:top w:val="nil"/>
              <w:left w:val="nil"/>
              <w:bottom w:val="nil"/>
              <w:right w:val="nil"/>
            </w:tcBorders>
            <w:shd w:val="clear" w:color="auto" w:fill="FFFFFF"/>
          </w:tcPr>
          <w:p w:rsidR="001E2806" w:rsidRPr="00422A95" w:rsidRDefault="00E364A3" w:rsidP="00422A95">
            <w:pPr>
              <w:spacing w:before="79" w:after="79"/>
              <w:rPr>
                <w:sz w:val="20"/>
                <w:szCs w:val="20"/>
              </w:rPr>
            </w:pPr>
            <w:r w:rsidRPr="00422A95">
              <w:rPr>
                <w:rFonts w:cs="Times New Roman"/>
                <w:sz w:val="20"/>
                <w:szCs w:val="20"/>
              </w:rPr>
              <w:t xml:space="preserve">TABELLA 3 </w:t>
            </w:r>
            <w:r w:rsidRPr="00422A95">
              <w:rPr>
                <w:rFonts w:cs="Times New Roman" w:hint="cs"/>
                <w:sz w:val="20"/>
                <w:szCs w:val="20"/>
              </w:rPr>
              <w:t>–</w:t>
            </w:r>
            <w:r w:rsidRPr="00422A95">
              <w:rPr>
                <w:rFonts w:cs="Times New Roman"/>
                <w:sz w:val="20"/>
                <w:szCs w:val="20"/>
              </w:rPr>
              <w:t xml:space="preserve"> Risultati dell'analisi F</w:t>
            </w:r>
            <w:r w:rsidRPr="00422A95">
              <w:rPr>
                <w:sz w:val="20"/>
                <w:szCs w:val="20"/>
              </w:rPr>
              <w:t xml:space="preserve">AT-MRA </w:t>
            </w:r>
          </w:p>
        </w:tc>
      </w:tr>
      <w:tr w:rsidR="001E2806">
        <w:tc>
          <w:tcPr>
            <w:tcW w:w="3845" w:type="dxa"/>
            <w:tcBorders>
              <w:top w:val="single" w:sz="6" w:space="0" w:color="00000A"/>
              <w:left w:val="nil"/>
              <w:bottom w:val="nil"/>
              <w:right w:val="nil"/>
            </w:tcBorders>
            <w:shd w:val="clear" w:color="auto" w:fill="FFFFFF"/>
          </w:tcPr>
          <w:p w:rsidR="001E2806" w:rsidRPr="00422A95" w:rsidRDefault="001E2806">
            <w:pPr>
              <w:spacing w:before="79" w:after="79"/>
              <w:rPr>
                <w:rFonts w:cs="Times New Roman"/>
                <w:sz w:val="20"/>
                <w:szCs w:val="20"/>
              </w:rPr>
            </w:pPr>
          </w:p>
        </w:tc>
        <w:tc>
          <w:tcPr>
            <w:tcW w:w="1609"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Calorie</w:t>
            </w:r>
          </w:p>
        </w:tc>
        <w:tc>
          <w:tcPr>
            <w:tcW w:w="1342"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Proteine</w:t>
            </w:r>
          </w:p>
        </w:tc>
        <w:tc>
          <w:tcPr>
            <w:tcW w:w="1365"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Grasso</w:t>
            </w:r>
          </w:p>
        </w:tc>
        <w:tc>
          <w:tcPr>
            <w:tcW w:w="1477"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Micronutrienti</w:t>
            </w:r>
          </w:p>
        </w:tc>
      </w:tr>
      <w:tr w:rsidR="001E2806">
        <w:tc>
          <w:tcPr>
            <w:tcW w:w="3845" w:type="dxa"/>
            <w:tcBorders>
              <w:top w:val="single" w:sz="6" w:space="0" w:color="00000A"/>
              <w:left w:val="nil"/>
              <w:bottom w:val="nil"/>
              <w:right w:val="nil"/>
            </w:tcBorders>
            <w:shd w:val="clear" w:color="auto" w:fill="FFFFFF"/>
          </w:tcPr>
          <w:p w:rsidR="001E2806" w:rsidRDefault="001C42CA">
            <w:pPr>
              <w:jc w:val="both"/>
            </w:pPr>
            <m:oMathPara>
              <m:oMath>
                <m:sSub>
                  <m:sSubPr>
                    <m:ctrlPr>
                      <w:rPr>
                        <w:rFonts w:ascii="Cambria Math" w:hAnsi="Cambria Math"/>
                      </w:rPr>
                    </m:ctrlPr>
                  </m:sSubPr>
                  <m:e>
                    <m:r>
                      <w:rPr>
                        <w:rFonts w:ascii="Cambria Math" w:hAnsi="Cambria Math"/>
                      </w:rPr>
                      <m:t>α</m:t>
                    </m:r>
                  </m:e>
                  <m:sub>
                    <m:r>
                      <w:rPr>
                        <w:rFonts w:ascii="Cambria Math" w:hAnsi="Cambria Math"/>
                      </w:rPr>
                      <m:t>1</m:t>
                    </m:r>
                  </m:sub>
                </m:sSub>
              </m:oMath>
            </m:oMathPara>
          </w:p>
        </w:tc>
        <w:tc>
          <w:tcPr>
            <w:tcW w:w="1609" w:type="dxa"/>
            <w:tcBorders>
              <w:top w:val="single" w:sz="6" w:space="0" w:color="00000A"/>
              <w:left w:val="nil"/>
              <w:bottom w:val="nil"/>
              <w:right w:val="nil"/>
            </w:tcBorders>
            <w:shd w:val="clear" w:color="auto" w:fill="FFFFFF"/>
          </w:tcPr>
          <w:p w:rsidR="001E2806" w:rsidRDefault="00515A19">
            <w:pPr>
              <w:tabs>
                <w:tab w:val="decimal" w:pos="811"/>
              </w:tabs>
              <w:rPr>
                <w:rFonts w:cs="Times New Roman"/>
                <w:sz w:val="20"/>
                <w:szCs w:val="20"/>
                <w:lang w:val="en-GB"/>
              </w:rPr>
            </w:pPr>
            <w:r>
              <w:rPr>
                <w:rFonts w:cs="Times New Roman"/>
                <w:sz w:val="20"/>
                <w:szCs w:val="20"/>
                <w:lang w:val="en-GB"/>
              </w:rPr>
              <w:t>253.992</w:t>
            </w:r>
          </w:p>
        </w:tc>
        <w:tc>
          <w:tcPr>
            <w:tcW w:w="1342" w:type="dxa"/>
            <w:tcBorders>
              <w:top w:val="single" w:sz="6"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-1.680</w:t>
            </w:r>
          </w:p>
        </w:tc>
        <w:tc>
          <w:tcPr>
            <w:tcW w:w="1365" w:type="dxa"/>
            <w:tcBorders>
              <w:top w:val="single" w:sz="6" w:space="0" w:color="00000A"/>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7.180</w:t>
            </w:r>
          </w:p>
        </w:tc>
        <w:tc>
          <w:tcPr>
            <w:tcW w:w="1477" w:type="dxa"/>
            <w:tcBorders>
              <w:top w:val="single" w:sz="6"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-0.190</w:t>
            </w:r>
          </w:p>
        </w:tc>
      </w:tr>
      <w:tr w:rsidR="001E2806">
        <w:tc>
          <w:tcPr>
            <w:tcW w:w="3845" w:type="dxa"/>
            <w:tcBorders>
              <w:top w:val="nil"/>
              <w:left w:val="nil"/>
              <w:bottom w:val="single" w:sz="4" w:space="0" w:color="00000A"/>
              <w:right w:val="nil"/>
            </w:tcBorders>
            <w:shd w:val="clear" w:color="auto" w:fill="FFFFFF"/>
          </w:tcPr>
          <w:p w:rsidR="001E2806" w:rsidRDefault="001E2806">
            <w:pPr>
              <w:jc w:val="both"/>
              <w:rPr>
                <w:rFonts w:cs="Times New Roman"/>
                <w:sz w:val="20"/>
                <w:szCs w:val="20"/>
                <w:lang w:val="en-GB"/>
              </w:rPr>
            </w:pPr>
          </w:p>
        </w:tc>
        <w:tc>
          <w:tcPr>
            <w:tcW w:w="1609" w:type="dxa"/>
            <w:tcBorders>
              <w:top w:val="nil"/>
              <w:left w:val="nil"/>
              <w:bottom w:val="single" w:sz="4" w:space="0" w:color="00000A"/>
              <w:right w:val="nil"/>
            </w:tcBorders>
            <w:shd w:val="clear" w:color="auto" w:fill="FFFFFF"/>
          </w:tcPr>
          <w:p w:rsidR="001E2806" w:rsidRDefault="00515A19">
            <w:pPr>
              <w:tabs>
                <w:tab w:val="decimal" w:pos="811"/>
              </w:tabs>
              <w:rPr>
                <w:rFonts w:cs="Times New Roman"/>
                <w:sz w:val="20"/>
                <w:szCs w:val="20"/>
                <w:lang w:val="en-GB"/>
              </w:rPr>
            </w:pPr>
            <w:r>
              <w:rPr>
                <w:rFonts w:cs="Times New Roman"/>
                <w:sz w:val="20"/>
                <w:szCs w:val="20"/>
                <w:lang w:val="en-GB"/>
              </w:rPr>
              <w:t>(1.76)+</w:t>
            </w:r>
          </w:p>
        </w:tc>
        <w:tc>
          <w:tcPr>
            <w:tcW w:w="1342" w:type="dxa"/>
            <w:tcBorders>
              <w:top w:val="nil"/>
              <w:left w:val="nil"/>
              <w:bottom w:val="single"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(2.31)*</w:t>
            </w:r>
          </w:p>
        </w:tc>
        <w:tc>
          <w:tcPr>
            <w:tcW w:w="1365" w:type="dxa"/>
            <w:tcBorders>
              <w:top w:val="nil"/>
              <w:left w:val="nil"/>
              <w:bottom w:val="single" w:sz="4" w:space="0" w:color="00000A"/>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(35.81)**</w:t>
            </w:r>
          </w:p>
        </w:tc>
        <w:tc>
          <w:tcPr>
            <w:tcW w:w="1477" w:type="dxa"/>
            <w:tcBorders>
              <w:top w:val="nil"/>
              <w:left w:val="nil"/>
              <w:bottom w:val="single"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(0.08)</w:t>
            </w:r>
          </w:p>
        </w:tc>
      </w:tr>
      <w:tr w:rsidR="001E2806">
        <w:tc>
          <w:tcPr>
            <w:tcW w:w="3845" w:type="dxa"/>
            <w:tcBorders>
              <w:top w:val="nil"/>
              <w:left w:val="nil"/>
              <w:bottom w:val="nil"/>
              <w:right w:val="nil"/>
            </w:tcBorders>
            <w:shd w:val="clear" w:color="auto" w:fill="FFFFFF"/>
          </w:tcPr>
          <w:p w:rsidR="001E2806" w:rsidRDefault="001C42CA">
            <w:pPr>
              <w:jc w:val="both"/>
            </w:pPr>
            <m:oMathPara>
              <m:oMath>
                <m:sSub>
                  <m:sSubPr>
                    <m:ctrlPr>
                      <w:rPr>
                        <w:rFonts w:ascii="Cambria Math" w:hAnsi="Cambria Math"/>
                      </w:rPr>
                    </m:ctrlPr>
                  </m:sSubPr>
                  <m:e>
                    <m:r>
                      <w:rPr>
                        <w:rFonts w:ascii="Cambria Math" w:hAnsi="Cambria Math"/>
                      </w:rPr>
                      <m:t>α</m:t>
                    </m:r>
                  </m:e>
                  <m:sub>
                    <m:r>
                      <w:rPr>
                        <w:rFonts w:ascii="Cambria Math" w:hAnsi="Cambria Math"/>
                      </w:rPr>
                      <m:t>2</m:t>
                    </m:r>
                  </m:sub>
                </m:sSub>
              </m:oMath>
            </m:oMathPara>
          </w:p>
        </w:tc>
        <w:tc>
          <w:tcPr>
            <w:tcW w:w="1609" w:type="dxa"/>
            <w:tcBorders>
              <w:top w:val="nil"/>
              <w:left w:val="nil"/>
              <w:bottom w:val="nil"/>
              <w:right w:val="nil"/>
            </w:tcBorders>
            <w:shd w:val="clear" w:color="auto" w:fill="FFFFFF"/>
          </w:tcPr>
          <w:p w:rsidR="001E2806" w:rsidRDefault="00515A19">
            <w:pPr>
              <w:tabs>
                <w:tab w:val="decimal" w:pos="811"/>
              </w:tabs>
              <w:rPr>
                <w:rFonts w:cs="Times New Roman"/>
                <w:sz w:val="20"/>
                <w:szCs w:val="20"/>
                <w:lang w:val="en-GB"/>
              </w:rPr>
            </w:pPr>
            <w:r>
              <w:rPr>
                <w:rFonts w:cs="Times New Roman"/>
                <w:sz w:val="20"/>
                <w:szCs w:val="20"/>
                <w:lang w:val="en-GB"/>
              </w:rPr>
              <w:t>-0.058</w:t>
            </w:r>
          </w:p>
        </w:tc>
        <w:tc>
          <w:tcPr>
            <w:tcW w:w="1342"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1.400</w:t>
            </w:r>
          </w:p>
        </w:tc>
        <w:tc>
          <w:tcPr>
            <w:tcW w:w="136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-0.208</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0.009</w:t>
            </w:r>
          </w:p>
        </w:tc>
      </w:tr>
      <w:tr w:rsidR="001E2806">
        <w:tc>
          <w:tcPr>
            <w:tcW w:w="3845" w:type="dxa"/>
            <w:tcBorders>
              <w:top w:val="nil"/>
              <w:left w:val="nil"/>
              <w:bottom w:val="single" w:sz="4" w:space="0" w:color="00000A"/>
              <w:right w:val="nil"/>
            </w:tcBorders>
            <w:shd w:val="clear" w:color="auto" w:fill="FFFFFF"/>
          </w:tcPr>
          <w:p w:rsidR="001E2806" w:rsidRDefault="001E2806">
            <w:pPr>
              <w:rPr>
                <w:rFonts w:cs="Times New Roman"/>
                <w:sz w:val="20"/>
                <w:szCs w:val="20"/>
                <w:lang w:val="en-GB"/>
              </w:rPr>
            </w:pPr>
          </w:p>
        </w:tc>
        <w:tc>
          <w:tcPr>
            <w:tcW w:w="1609" w:type="dxa"/>
            <w:tcBorders>
              <w:top w:val="nil"/>
              <w:left w:val="nil"/>
              <w:bottom w:val="single" w:sz="4" w:space="0" w:color="00000A"/>
              <w:right w:val="nil"/>
            </w:tcBorders>
            <w:shd w:val="clear" w:color="auto" w:fill="FFFFFF"/>
          </w:tcPr>
          <w:p w:rsidR="001E2806" w:rsidRDefault="00515A19">
            <w:pPr>
              <w:tabs>
                <w:tab w:val="decimal" w:pos="811"/>
              </w:tabs>
              <w:rPr>
                <w:rFonts w:cs="Times New Roman"/>
                <w:sz w:val="20"/>
                <w:szCs w:val="20"/>
                <w:lang w:val="en-GB"/>
              </w:rPr>
            </w:pPr>
            <w:r>
              <w:rPr>
                <w:rFonts w:cs="Times New Roman"/>
                <w:sz w:val="20"/>
                <w:szCs w:val="20"/>
                <w:lang w:val="en-GB"/>
              </w:rPr>
              <w:t>(0.38)</w:t>
            </w:r>
          </w:p>
        </w:tc>
        <w:tc>
          <w:tcPr>
            <w:tcW w:w="1342" w:type="dxa"/>
            <w:tcBorders>
              <w:top w:val="nil"/>
              <w:left w:val="nil"/>
              <w:bottom w:val="single"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(3.57)**</w:t>
            </w:r>
          </w:p>
        </w:tc>
        <w:tc>
          <w:tcPr>
            <w:tcW w:w="1365" w:type="dxa"/>
            <w:tcBorders>
              <w:top w:val="nil"/>
              <w:left w:val="nil"/>
              <w:bottom w:val="single" w:sz="4" w:space="0" w:color="00000A"/>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(10.88)**</w:t>
            </w:r>
          </w:p>
        </w:tc>
        <w:tc>
          <w:tcPr>
            <w:tcW w:w="1477" w:type="dxa"/>
            <w:tcBorders>
              <w:top w:val="nil"/>
              <w:left w:val="nil"/>
              <w:bottom w:val="single"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(0.03)</w:t>
            </w:r>
          </w:p>
        </w:tc>
      </w:tr>
      <w:tr w:rsidR="001E2806">
        <w:tc>
          <w:tcPr>
            <w:tcW w:w="3845" w:type="dxa"/>
            <w:tcBorders>
              <w:top w:val="single" w:sz="4"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Control factors</w:t>
            </w:r>
          </w:p>
        </w:tc>
        <w:tc>
          <w:tcPr>
            <w:tcW w:w="1609" w:type="dxa"/>
            <w:tcBorders>
              <w:top w:val="single" w:sz="4" w:space="0" w:color="00000A"/>
              <w:left w:val="nil"/>
              <w:bottom w:val="nil"/>
              <w:right w:val="nil"/>
            </w:tcBorders>
            <w:shd w:val="clear" w:color="auto" w:fill="FFFFFF"/>
          </w:tcPr>
          <w:p w:rsidR="001E2806" w:rsidRDefault="00515A19">
            <w:pPr>
              <w:tabs>
                <w:tab w:val="decimal" w:pos="811"/>
              </w:tabs>
              <w:jc w:val="center"/>
              <w:rPr>
                <w:rFonts w:cs="Times New Roman"/>
                <w:sz w:val="20"/>
                <w:szCs w:val="20"/>
                <w:lang w:val="en-GB"/>
              </w:rPr>
            </w:pPr>
            <w:r>
              <w:rPr>
                <w:rFonts w:cs="Times New Roman"/>
                <w:sz w:val="20"/>
                <w:szCs w:val="20"/>
                <w:lang w:val="en-GB"/>
              </w:rPr>
              <w:t>YES</w:t>
            </w:r>
          </w:p>
        </w:tc>
        <w:tc>
          <w:tcPr>
            <w:tcW w:w="1342" w:type="dxa"/>
            <w:tcBorders>
              <w:top w:val="single" w:sz="4" w:space="0" w:color="00000A"/>
              <w:left w:val="nil"/>
              <w:bottom w:val="nil"/>
              <w:right w:val="nil"/>
            </w:tcBorders>
            <w:shd w:val="clear" w:color="auto" w:fill="FFFFFF"/>
          </w:tcPr>
          <w:p w:rsidR="001E2806" w:rsidRDefault="00515A19">
            <w:pPr>
              <w:jc w:val="center"/>
              <w:rPr>
                <w:rFonts w:cs="Times New Roman"/>
                <w:sz w:val="20"/>
                <w:szCs w:val="20"/>
                <w:lang w:val="en-GB"/>
              </w:rPr>
            </w:pPr>
            <w:r>
              <w:rPr>
                <w:rFonts w:cs="Times New Roman"/>
                <w:sz w:val="20"/>
                <w:szCs w:val="20"/>
                <w:lang w:val="en-GB"/>
              </w:rPr>
              <w:t>YES</w:t>
            </w:r>
          </w:p>
        </w:tc>
        <w:tc>
          <w:tcPr>
            <w:tcW w:w="1365" w:type="dxa"/>
            <w:tcBorders>
              <w:top w:val="single" w:sz="4" w:space="0" w:color="00000A"/>
              <w:left w:val="nil"/>
              <w:bottom w:val="nil"/>
              <w:right w:val="nil"/>
            </w:tcBorders>
            <w:shd w:val="clear" w:color="auto" w:fill="FFFFFF"/>
          </w:tcPr>
          <w:p w:rsidR="001E2806" w:rsidRDefault="00515A19">
            <w:pPr>
              <w:jc w:val="center"/>
              <w:rPr>
                <w:rFonts w:cs="Times New Roman"/>
                <w:sz w:val="20"/>
                <w:szCs w:val="20"/>
                <w:lang w:val="en-GB"/>
              </w:rPr>
            </w:pPr>
            <w:r>
              <w:rPr>
                <w:rFonts w:cs="Times New Roman"/>
                <w:sz w:val="20"/>
                <w:szCs w:val="20"/>
                <w:lang w:val="en-GB"/>
              </w:rPr>
              <w:t>YES</w:t>
            </w:r>
          </w:p>
        </w:tc>
        <w:tc>
          <w:tcPr>
            <w:tcW w:w="1477" w:type="dxa"/>
            <w:tcBorders>
              <w:top w:val="single" w:sz="4" w:space="0" w:color="00000A"/>
              <w:left w:val="nil"/>
              <w:bottom w:val="nil"/>
              <w:right w:val="nil"/>
            </w:tcBorders>
            <w:shd w:val="clear" w:color="auto" w:fill="FFFFFF"/>
          </w:tcPr>
          <w:p w:rsidR="001E2806" w:rsidRDefault="00515A19">
            <w:pPr>
              <w:jc w:val="center"/>
              <w:rPr>
                <w:rFonts w:cs="Times New Roman"/>
                <w:sz w:val="20"/>
                <w:szCs w:val="20"/>
                <w:lang w:val="en-GB"/>
              </w:rPr>
            </w:pPr>
            <w:r>
              <w:rPr>
                <w:rFonts w:cs="Times New Roman"/>
                <w:sz w:val="20"/>
                <w:szCs w:val="20"/>
                <w:lang w:val="en-GB"/>
              </w:rPr>
              <w:t>YES</w:t>
            </w:r>
          </w:p>
        </w:tc>
      </w:tr>
      <w:tr w:rsidR="001E2806">
        <w:tc>
          <w:tcPr>
            <w:tcW w:w="3845" w:type="dxa"/>
            <w:tcBorders>
              <w:top w:val="single" w:sz="4" w:space="0" w:color="00000A"/>
              <w:left w:val="nil"/>
              <w:bottom w:val="nil"/>
              <w:right w:val="nil"/>
            </w:tcBorders>
            <w:shd w:val="clear" w:color="auto" w:fill="FFFFFF"/>
          </w:tcPr>
          <w:p w:rsidR="001E2806" w:rsidRDefault="00515A19">
            <w:pPr>
              <w:rPr>
                <w:rFonts w:cs="Times New Roman"/>
                <w:sz w:val="20"/>
                <w:szCs w:val="20"/>
                <w:vertAlign w:val="superscript"/>
                <w:lang w:val="en-GB"/>
              </w:rPr>
            </w:pPr>
            <w:r>
              <w:rPr>
                <w:rFonts w:cs="Times New Roman"/>
                <w:i/>
                <w:iCs/>
                <w:sz w:val="20"/>
                <w:szCs w:val="20"/>
                <w:lang w:val="en-GB"/>
              </w:rPr>
              <w:t>R</w:t>
            </w:r>
            <w:r>
              <w:rPr>
                <w:rFonts w:cs="Times New Roman"/>
                <w:sz w:val="20"/>
                <w:szCs w:val="20"/>
                <w:vertAlign w:val="superscript"/>
                <w:lang w:val="en-GB"/>
              </w:rPr>
              <w:t>2</w:t>
            </w:r>
          </w:p>
        </w:tc>
        <w:tc>
          <w:tcPr>
            <w:tcW w:w="1609" w:type="dxa"/>
            <w:tcBorders>
              <w:top w:val="single" w:sz="4" w:space="0" w:color="00000A"/>
              <w:left w:val="nil"/>
              <w:bottom w:val="nil"/>
              <w:right w:val="nil"/>
            </w:tcBorders>
            <w:shd w:val="clear" w:color="auto" w:fill="FFFFFF"/>
          </w:tcPr>
          <w:p w:rsidR="001E2806" w:rsidRDefault="00515A19">
            <w:pPr>
              <w:tabs>
                <w:tab w:val="decimal" w:pos="811"/>
              </w:tabs>
              <w:jc w:val="center"/>
              <w:rPr>
                <w:rFonts w:cs="Times New Roman"/>
                <w:sz w:val="20"/>
                <w:szCs w:val="20"/>
                <w:lang w:val="en-GB"/>
              </w:rPr>
            </w:pPr>
            <w:r>
              <w:rPr>
                <w:rFonts w:cs="Times New Roman"/>
                <w:sz w:val="20"/>
                <w:szCs w:val="20"/>
                <w:lang w:val="en-GB"/>
              </w:rPr>
              <w:t>0.97</w:t>
            </w:r>
          </w:p>
        </w:tc>
        <w:tc>
          <w:tcPr>
            <w:tcW w:w="1342" w:type="dxa"/>
            <w:tcBorders>
              <w:top w:val="single" w:sz="4" w:space="0" w:color="00000A"/>
              <w:left w:val="nil"/>
              <w:bottom w:val="nil"/>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0.97</w:t>
            </w:r>
          </w:p>
        </w:tc>
        <w:tc>
          <w:tcPr>
            <w:tcW w:w="1365" w:type="dxa"/>
            <w:tcBorders>
              <w:top w:val="single" w:sz="4" w:space="0" w:color="00000A"/>
              <w:left w:val="nil"/>
              <w:bottom w:val="nil"/>
              <w:right w:val="nil"/>
            </w:tcBorders>
            <w:shd w:val="clear" w:color="auto" w:fill="FFFFFF"/>
          </w:tcPr>
          <w:p w:rsidR="001E2806" w:rsidRDefault="00515A19">
            <w:pPr>
              <w:tabs>
                <w:tab w:val="decimal" w:pos="674"/>
              </w:tabs>
              <w:jc w:val="center"/>
              <w:rPr>
                <w:rFonts w:cs="Times New Roman"/>
                <w:sz w:val="20"/>
                <w:szCs w:val="20"/>
                <w:lang w:val="en-GB"/>
              </w:rPr>
            </w:pPr>
            <w:r>
              <w:rPr>
                <w:rFonts w:cs="Times New Roman"/>
                <w:sz w:val="20"/>
                <w:szCs w:val="20"/>
                <w:lang w:val="en-GB"/>
              </w:rPr>
              <w:t>0.99</w:t>
            </w:r>
          </w:p>
        </w:tc>
        <w:tc>
          <w:tcPr>
            <w:tcW w:w="1477" w:type="dxa"/>
            <w:tcBorders>
              <w:top w:val="single" w:sz="4" w:space="0" w:color="00000A"/>
              <w:left w:val="nil"/>
              <w:bottom w:val="nil"/>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0.91</w:t>
            </w:r>
          </w:p>
        </w:tc>
      </w:tr>
      <w:tr w:rsidR="001E2806">
        <w:tc>
          <w:tcPr>
            <w:tcW w:w="3845" w:type="dxa"/>
            <w:tcBorders>
              <w:top w:val="nil"/>
              <w:left w:val="nil"/>
              <w:bottom w:val="single" w:sz="6" w:space="0" w:color="00000A"/>
              <w:right w:val="nil"/>
            </w:tcBorders>
            <w:shd w:val="clear" w:color="auto" w:fill="FFFFFF"/>
          </w:tcPr>
          <w:p w:rsidR="001E2806" w:rsidRDefault="00515A19">
            <w:pPr>
              <w:rPr>
                <w:rFonts w:cs="Times New Roman"/>
                <w:i/>
                <w:iCs/>
                <w:sz w:val="20"/>
                <w:szCs w:val="20"/>
                <w:lang w:val="en-GB"/>
              </w:rPr>
            </w:pPr>
            <w:r>
              <w:rPr>
                <w:rFonts w:cs="Times New Roman"/>
                <w:i/>
                <w:iCs/>
                <w:sz w:val="20"/>
                <w:szCs w:val="20"/>
                <w:lang w:val="en-GB"/>
              </w:rPr>
              <w:t>Observations</w:t>
            </w:r>
          </w:p>
        </w:tc>
        <w:tc>
          <w:tcPr>
            <w:tcW w:w="1609" w:type="dxa"/>
            <w:tcBorders>
              <w:top w:val="nil"/>
              <w:left w:val="nil"/>
              <w:bottom w:val="single" w:sz="6" w:space="0" w:color="00000A"/>
              <w:right w:val="nil"/>
            </w:tcBorders>
            <w:shd w:val="clear" w:color="auto" w:fill="FFFFFF"/>
          </w:tcPr>
          <w:p w:rsidR="001E2806" w:rsidRDefault="00515A19">
            <w:pPr>
              <w:tabs>
                <w:tab w:val="decimal" w:pos="811"/>
              </w:tabs>
              <w:jc w:val="center"/>
              <w:rPr>
                <w:rFonts w:cs="Times New Roman"/>
                <w:sz w:val="20"/>
                <w:szCs w:val="20"/>
                <w:lang w:val="en-GB"/>
              </w:rPr>
            </w:pPr>
            <w:r>
              <w:rPr>
                <w:rFonts w:cs="Times New Roman"/>
                <w:sz w:val="20"/>
                <w:szCs w:val="20"/>
                <w:lang w:val="en-GB"/>
              </w:rPr>
              <w:t>63</w:t>
            </w:r>
          </w:p>
        </w:tc>
        <w:tc>
          <w:tcPr>
            <w:tcW w:w="1342" w:type="dxa"/>
            <w:tcBorders>
              <w:top w:val="nil"/>
              <w:left w:val="nil"/>
              <w:bottom w:val="single" w:sz="6" w:space="0" w:color="00000A"/>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33</w:t>
            </w:r>
          </w:p>
        </w:tc>
        <w:tc>
          <w:tcPr>
            <w:tcW w:w="1365" w:type="dxa"/>
            <w:tcBorders>
              <w:top w:val="nil"/>
              <w:left w:val="nil"/>
              <w:bottom w:val="single" w:sz="6" w:space="0" w:color="00000A"/>
              <w:right w:val="nil"/>
            </w:tcBorders>
            <w:shd w:val="clear" w:color="auto" w:fill="FFFFFF"/>
          </w:tcPr>
          <w:p w:rsidR="001E2806" w:rsidRDefault="00515A19">
            <w:pPr>
              <w:tabs>
                <w:tab w:val="decimal" w:pos="674"/>
              </w:tabs>
              <w:jc w:val="center"/>
              <w:rPr>
                <w:rFonts w:cs="Times New Roman"/>
                <w:sz w:val="20"/>
                <w:szCs w:val="20"/>
                <w:lang w:val="en-GB"/>
              </w:rPr>
            </w:pPr>
            <w:r>
              <w:rPr>
                <w:rFonts w:cs="Times New Roman"/>
                <w:sz w:val="20"/>
                <w:szCs w:val="20"/>
                <w:lang w:val="en-GB"/>
              </w:rPr>
              <w:t>18</w:t>
            </w:r>
          </w:p>
        </w:tc>
        <w:tc>
          <w:tcPr>
            <w:tcW w:w="1477" w:type="dxa"/>
            <w:tcBorders>
              <w:top w:val="nil"/>
              <w:left w:val="nil"/>
              <w:bottom w:val="single" w:sz="6" w:space="0" w:color="00000A"/>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19</w:t>
            </w:r>
          </w:p>
        </w:tc>
      </w:tr>
    </w:tbl>
    <w:p w:rsidR="001E2806" w:rsidRPr="00422A95" w:rsidRDefault="00E364A3">
      <w:pPr>
        <w:rPr>
          <w:rFonts w:cs="Times New Roman"/>
        </w:rPr>
      </w:pPr>
      <w:r w:rsidRPr="00422A95">
        <w:t>Nota:</w:t>
      </w:r>
      <w:r w:rsidRPr="00422A95">
        <w:rPr>
          <w:i/>
        </w:rPr>
        <w:t xml:space="preserve"> t-stats </w:t>
      </w:r>
      <w:r w:rsidRPr="00422A95">
        <w:t>in parentesi;</w:t>
      </w:r>
      <w:r w:rsidRPr="00422A95">
        <w:rPr>
          <w:i/>
        </w:rPr>
        <w:t xml:space="preserve"> </w:t>
      </w:r>
      <w:r w:rsidRPr="00422A95">
        <w:rPr>
          <w:rFonts w:cs="Times New Roman"/>
        </w:rPr>
        <w:t>+, *, e ** indicano significativit</w:t>
      </w:r>
      <w:r w:rsidRPr="00422A95">
        <w:rPr>
          <w:rFonts w:cs="Times New Roman" w:hint="cs"/>
        </w:rPr>
        <w:t>à</w:t>
      </w:r>
      <w:r w:rsidRPr="00422A95">
        <w:rPr>
          <w:rFonts w:cs="Times New Roman"/>
        </w:rPr>
        <w:t xml:space="preserve"> statistica al 10, 5 e 1 percento. </w:t>
      </w:r>
    </w:p>
    <w:p w:rsidR="001E2806" w:rsidRDefault="001E2806">
      <w:pPr>
        <w:spacing w:line="360" w:lineRule="auto"/>
      </w:pPr>
    </w:p>
    <w:p w:rsidR="00E70B89" w:rsidRDefault="00E70B89">
      <w:pPr>
        <w:spacing w:line="360" w:lineRule="auto"/>
      </w:pPr>
    </w:p>
    <w:p w:rsidR="00054287" w:rsidRDefault="00054287">
      <w:pPr>
        <w:spacing w:line="360" w:lineRule="auto"/>
      </w:pPr>
    </w:p>
    <w:p w:rsidR="00054287" w:rsidRPr="00422A95" w:rsidRDefault="00054287">
      <w:pPr>
        <w:spacing w:line="360" w:lineRule="auto"/>
      </w:pPr>
    </w:p>
    <w:p w:rsidR="001E2806" w:rsidRPr="00422A95" w:rsidRDefault="001E2806">
      <w:pPr>
        <w:spacing w:line="360" w:lineRule="auto"/>
        <w:jc w:val="both"/>
      </w:pPr>
    </w:p>
    <w:tbl>
      <w:tblPr>
        <w:tblW w:w="0" w:type="auto"/>
        <w:tblBorders>
          <w:top w:val="nil"/>
          <w:left w:val="nil"/>
          <w:bottom w:val="nil"/>
          <w:right w:val="nil"/>
          <w:insideH w:val="nil"/>
          <w:insideV w:val="nil"/>
        </w:tblBorders>
        <w:tblCellMar>
          <w:left w:w="144" w:type="dxa"/>
          <w:right w:w="144" w:type="dxa"/>
        </w:tblCellMar>
        <w:tblLook w:val="0000" w:firstRow="0" w:lastRow="0" w:firstColumn="0" w:lastColumn="0" w:noHBand="0" w:noVBand="0"/>
      </w:tblPr>
      <w:tblGrid>
        <w:gridCol w:w="3906"/>
        <w:gridCol w:w="1388"/>
        <w:gridCol w:w="1388"/>
        <w:gridCol w:w="1479"/>
        <w:gridCol w:w="1477"/>
      </w:tblGrid>
      <w:tr w:rsidR="001E2806">
        <w:tc>
          <w:tcPr>
            <w:tcW w:w="9638" w:type="dxa"/>
            <w:gridSpan w:val="5"/>
            <w:tcBorders>
              <w:top w:val="nil"/>
              <w:left w:val="nil"/>
              <w:bottom w:val="nil"/>
              <w:right w:val="nil"/>
            </w:tcBorders>
            <w:shd w:val="clear" w:color="auto" w:fill="FFFFFF"/>
          </w:tcPr>
          <w:p w:rsidR="001E2806" w:rsidRPr="00422A95" w:rsidRDefault="00E364A3" w:rsidP="00E70B89">
            <w:pPr>
              <w:spacing w:before="79" w:after="79"/>
              <w:rPr>
                <w:rFonts w:cs="Times New Roman"/>
                <w:sz w:val="20"/>
                <w:szCs w:val="20"/>
              </w:rPr>
            </w:pPr>
            <w:r w:rsidRPr="00422A95">
              <w:rPr>
                <w:rFonts w:cs="Times New Roman"/>
                <w:sz w:val="20"/>
                <w:szCs w:val="20"/>
              </w:rPr>
              <w:lastRenderedPageBreak/>
              <w:t xml:space="preserve">TABELLA </w:t>
            </w:r>
            <w:r w:rsidR="00E70B89">
              <w:rPr>
                <w:rFonts w:cs="Times New Roman"/>
                <w:sz w:val="20"/>
                <w:szCs w:val="20"/>
              </w:rPr>
              <w:t>4</w:t>
            </w:r>
            <w:r w:rsidRPr="00422A95">
              <w:rPr>
                <w:rFonts w:cs="Times New Roman"/>
                <w:sz w:val="20"/>
                <w:szCs w:val="20"/>
              </w:rPr>
              <w:t xml:space="preserve"> </w:t>
            </w:r>
            <w:r w:rsidRPr="00422A95">
              <w:rPr>
                <w:rFonts w:cs="Times New Roman" w:hint="cs"/>
                <w:sz w:val="20"/>
                <w:szCs w:val="20"/>
              </w:rPr>
              <w:t>–</w:t>
            </w:r>
            <w:r w:rsidRPr="00422A95">
              <w:rPr>
                <w:rFonts w:cs="Times New Roman"/>
                <w:sz w:val="20"/>
                <w:szCs w:val="20"/>
              </w:rPr>
              <w:t xml:space="preserve"> Risultati del modello </w:t>
            </w:r>
            <w:r w:rsidRPr="00422A95">
              <w:rPr>
                <w:sz w:val="20"/>
                <w:szCs w:val="20"/>
              </w:rPr>
              <w:t>MRA</w:t>
            </w:r>
            <w:r w:rsidRPr="00422A95">
              <w:rPr>
                <w:rFonts w:cs="Times New Roman"/>
                <w:sz w:val="20"/>
                <w:szCs w:val="20"/>
              </w:rPr>
              <w:t xml:space="preserve"> </w:t>
            </w:r>
            <w:r w:rsidRPr="00422A95">
              <w:rPr>
                <w:rFonts w:cs="Times New Roman" w:hint="cs"/>
                <w:sz w:val="20"/>
                <w:szCs w:val="20"/>
              </w:rPr>
              <w:t>–</w:t>
            </w:r>
            <w:r w:rsidRPr="00422A95">
              <w:rPr>
                <w:rFonts w:cs="Times New Roman"/>
                <w:sz w:val="20"/>
                <w:szCs w:val="20"/>
              </w:rPr>
              <w:t xml:space="preserve"> Regressione ponderata</w:t>
            </w:r>
          </w:p>
        </w:tc>
      </w:tr>
      <w:tr w:rsidR="001E2806">
        <w:tc>
          <w:tcPr>
            <w:tcW w:w="3948" w:type="dxa"/>
            <w:tcBorders>
              <w:top w:val="single" w:sz="6" w:space="0" w:color="00000A"/>
              <w:left w:val="nil"/>
              <w:bottom w:val="nil"/>
              <w:right w:val="nil"/>
            </w:tcBorders>
            <w:shd w:val="clear" w:color="auto" w:fill="FFFFFF"/>
          </w:tcPr>
          <w:p w:rsidR="001E2806" w:rsidRPr="00422A95" w:rsidRDefault="001E2806">
            <w:pPr>
              <w:spacing w:before="79" w:after="79"/>
              <w:rPr>
                <w:rFonts w:cs="Times New Roman"/>
                <w:sz w:val="20"/>
                <w:szCs w:val="20"/>
              </w:rPr>
            </w:pPr>
          </w:p>
        </w:tc>
        <w:tc>
          <w:tcPr>
            <w:tcW w:w="1389"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Calorie</w:t>
            </w:r>
          </w:p>
        </w:tc>
        <w:tc>
          <w:tcPr>
            <w:tcW w:w="1389"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Proteine</w:t>
            </w:r>
          </w:p>
        </w:tc>
        <w:tc>
          <w:tcPr>
            <w:tcW w:w="1435"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Grassi</w:t>
            </w:r>
          </w:p>
        </w:tc>
        <w:tc>
          <w:tcPr>
            <w:tcW w:w="1477" w:type="dxa"/>
            <w:tcBorders>
              <w:top w:val="single" w:sz="6" w:space="0" w:color="00000A"/>
              <w:left w:val="nil"/>
              <w:bottom w:val="nil"/>
              <w:right w:val="nil"/>
            </w:tcBorders>
            <w:shd w:val="clear" w:color="auto" w:fill="FFFFFF"/>
          </w:tcPr>
          <w:p w:rsidR="001E2806" w:rsidRDefault="00515A19">
            <w:pPr>
              <w:spacing w:before="79" w:after="79"/>
              <w:jc w:val="center"/>
              <w:rPr>
                <w:rFonts w:cs="Times New Roman"/>
                <w:sz w:val="20"/>
                <w:szCs w:val="20"/>
                <w:lang w:val="en-GB"/>
              </w:rPr>
            </w:pPr>
            <w:r>
              <w:rPr>
                <w:rFonts w:cs="Times New Roman"/>
                <w:sz w:val="20"/>
                <w:szCs w:val="20"/>
                <w:lang w:val="en-GB"/>
              </w:rPr>
              <w:t>Micronutrienti</w:t>
            </w:r>
          </w:p>
        </w:tc>
      </w:tr>
      <w:tr w:rsidR="001E2806">
        <w:tc>
          <w:tcPr>
            <w:tcW w:w="3948" w:type="dxa"/>
            <w:tcBorders>
              <w:top w:val="single" w:sz="6"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Income</w:t>
            </w:r>
          </w:p>
        </w:tc>
        <w:tc>
          <w:tcPr>
            <w:tcW w:w="1389" w:type="dxa"/>
            <w:tcBorders>
              <w:top w:val="single" w:sz="6"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-0.286</w:t>
            </w:r>
          </w:p>
        </w:tc>
        <w:tc>
          <w:tcPr>
            <w:tcW w:w="1389" w:type="dxa"/>
            <w:tcBorders>
              <w:top w:val="single" w:sz="6"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2.047</w:t>
            </w:r>
          </w:p>
        </w:tc>
        <w:tc>
          <w:tcPr>
            <w:tcW w:w="1435" w:type="dxa"/>
            <w:tcBorders>
              <w:top w:val="single" w:sz="6" w:space="0" w:color="00000A"/>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single" w:sz="6"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-0.178</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(3.91)**</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(1.55)</w:t>
            </w: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(1.68)</w:t>
            </w: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Linear</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-0.040</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-0.030</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0.115</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-0.006</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(1.07)</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(0.84)</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(8.00)**</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(0.07)</w:t>
            </w: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Q-AIDS</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0.645</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0.789</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-4.379</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0.650</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(6.82)**</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(3.75)**</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(5.79)**</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(6.33)**</w:t>
            </w:r>
          </w:p>
        </w:tc>
      </w:tr>
      <w:tr w:rsidR="001E2806">
        <w:trPr>
          <w:trHeight w:val="113"/>
        </w:trPr>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Number of Years</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-0.068</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-1.699</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2.573</w:t>
            </w: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single" w:sz="4" w:space="0" w:color="00000A"/>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single"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(2.80)**</w:t>
            </w:r>
          </w:p>
        </w:tc>
        <w:tc>
          <w:tcPr>
            <w:tcW w:w="1389" w:type="dxa"/>
            <w:tcBorders>
              <w:top w:val="nil"/>
              <w:left w:val="nil"/>
              <w:bottom w:val="single"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(2.30)*</w:t>
            </w:r>
          </w:p>
        </w:tc>
        <w:tc>
          <w:tcPr>
            <w:tcW w:w="1435" w:type="dxa"/>
            <w:tcBorders>
              <w:top w:val="nil"/>
              <w:left w:val="nil"/>
              <w:bottom w:val="single" w:sz="4" w:space="0" w:color="00000A"/>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(5.88)**</w:t>
            </w:r>
          </w:p>
        </w:tc>
        <w:tc>
          <w:tcPr>
            <w:tcW w:w="1477" w:type="dxa"/>
            <w:tcBorders>
              <w:top w:val="nil"/>
              <w:left w:val="nil"/>
              <w:bottom w:val="single" w:sz="4" w:space="0" w:color="00000A"/>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Unpublished Paper</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0.356</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-3.182</w:t>
            </w: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(5.15)**</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(1.65)</w:t>
            </w: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Impact Factor</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-0.140</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-0.890</w:t>
            </w: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-0.201</w:t>
            </w:r>
          </w:p>
        </w:tc>
      </w:tr>
      <w:tr w:rsidR="001E2806">
        <w:tc>
          <w:tcPr>
            <w:tcW w:w="3948" w:type="dxa"/>
            <w:tcBorders>
              <w:top w:val="nil"/>
              <w:left w:val="nil"/>
              <w:bottom w:val="dashed" w:sz="4" w:space="0" w:color="00000A"/>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dashed"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(3.23)**</w:t>
            </w:r>
          </w:p>
        </w:tc>
        <w:tc>
          <w:tcPr>
            <w:tcW w:w="1389" w:type="dxa"/>
            <w:tcBorders>
              <w:top w:val="nil"/>
              <w:left w:val="nil"/>
              <w:bottom w:val="dashed"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(1.79)+</w:t>
            </w:r>
          </w:p>
        </w:tc>
        <w:tc>
          <w:tcPr>
            <w:tcW w:w="1435" w:type="dxa"/>
            <w:tcBorders>
              <w:top w:val="nil"/>
              <w:left w:val="nil"/>
              <w:bottom w:val="dashed" w:sz="4" w:space="0" w:color="00000A"/>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dashed"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(2.20)*</w:t>
            </w:r>
          </w:p>
        </w:tc>
      </w:tr>
      <w:tr w:rsidR="001E2806">
        <w:tc>
          <w:tcPr>
            <w:tcW w:w="3948" w:type="dxa"/>
            <w:tcBorders>
              <w:top w:val="dashed" w:sz="4"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Rural</w:t>
            </w:r>
          </w:p>
        </w:tc>
        <w:tc>
          <w:tcPr>
            <w:tcW w:w="1389" w:type="dxa"/>
            <w:tcBorders>
              <w:top w:val="dashed"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-0.022</w:t>
            </w:r>
          </w:p>
        </w:tc>
        <w:tc>
          <w:tcPr>
            <w:tcW w:w="1389" w:type="dxa"/>
            <w:tcBorders>
              <w:top w:val="dashed"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0.005</w:t>
            </w:r>
          </w:p>
        </w:tc>
        <w:tc>
          <w:tcPr>
            <w:tcW w:w="1435" w:type="dxa"/>
            <w:tcBorders>
              <w:top w:val="dashed" w:sz="4" w:space="0" w:color="00000A"/>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0.175</w:t>
            </w:r>
          </w:p>
        </w:tc>
        <w:tc>
          <w:tcPr>
            <w:tcW w:w="1477" w:type="dxa"/>
            <w:tcBorders>
              <w:top w:val="dashed"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0.016</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(0.63)</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(0.13)</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(12.18)**</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(0.26)</w:t>
            </w: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Africa</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-0.178</w:t>
            </w:r>
          </w:p>
        </w:tc>
        <w:tc>
          <w:tcPr>
            <w:tcW w:w="138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(2.17)*</w:t>
            </w:r>
          </w:p>
        </w:tc>
        <w:tc>
          <w:tcPr>
            <w:tcW w:w="138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Asia</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0.054</w:t>
            </w:r>
          </w:p>
        </w:tc>
        <w:tc>
          <w:tcPr>
            <w:tcW w:w="138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(0.73)</w:t>
            </w:r>
          </w:p>
        </w:tc>
        <w:tc>
          <w:tcPr>
            <w:tcW w:w="138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South America</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0.084</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-0.637</w:t>
            </w: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0.347</w:t>
            </w:r>
          </w:p>
        </w:tc>
      </w:tr>
      <w:tr w:rsidR="001E2806">
        <w:tc>
          <w:tcPr>
            <w:tcW w:w="3948" w:type="dxa"/>
            <w:tcBorders>
              <w:top w:val="nil"/>
              <w:left w:val="nil"/>
              <w:bottom w:val="dashed" w:sz="4" w:space="0" w:color="00000A"/>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dashed"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(0.98)</w:t>
            </w:r>
          </w:p>
        </w:tc>
        <w:tc>
          <w:tcPr>
            <w:tcW w:w="1389" w:type="dxa"/>
            <w:tcBorders>
              <w:top w:val="nil"/>
              <w:left w:val="nil"/>
              <w:bottom w:val="dashed"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(1.29)</w:t>
            </w:r>
          </w:p>
        </w:tc>
        <w:tc>
          <w:tcPr>
            <w:tcW w:w="1435" w:type="dxa"/>
            <w:tcBorders>
              <w:top w:val="nil"/>
              <w:left w:val="nil"/>
              <w:bottom w:val="dashed" w:sz="4" w:space="0" w:color="00000A"/>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dashed" w:sz="4" w:space="0" w:color="00000A"/>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(2.61)*</w:t>
            </w:r>
          </w:p>
        </w:tc>
      </w:tr>
      <w:tr w:rsidR="001E2806">
        <w:tc>
          <w:tcPr>
            <w:tcW w:w="3948" w:type="dxa"/>
            <w:tcBorders>
              <w:top w:val="dashed" w:sz="4"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Panel</w:t>
            </w:r>
          </w:p>
        </w:tc>
        <w:tc>
          <w:tcPr>
            <w:tcW w:w="1389" w:type="dxa"/>
            <w:tcBorders>
              <w:top w:val="dashed"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0.339</w:t>
            </w:r>
          </w:p>
        </w:tc>
        <w:tc>
          <w:tcPr>
            <w:tcW w:w="1389" w:type="dxa"/>
            <w:tcBorders>
              <w:top w:val="dashed"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2.469</w:t>
            </w:r>
          </w:p>
        </w:tc>
        <w:tc>
          <w:tcPr>
            <w:tcW w:w="1435" w:type="dxa"/>
            <w:tcBorders>
              <w:top w:val="dashed" w:sz="4" w:space="0" w:color="00000A"/>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-0.413</w:t>
            </w:r>
          </w:p>
        </w:tc>
        <w:tc>
          <w:tcPr>
            <w:tcW w:w="1477" w:type="dxa"/>
            <w:tcBorders>
              <w:top w:val="dashed"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0.546</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(4.55)**</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(2.35)*</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(2.07)+</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(4.13)**</w:t>
            </w: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Weekly</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0.226</w:t>
            </w:r>
          </w:p>
        </w:tc>
        <w:tc>
          <w:tcPr>
            <w:tcW w:w="138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0.013</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(1.95)+</w:t>
            </w:r>
          </w:p>
        </w:tc>
        <w:tc>
          <w:tcPr>
            <w:tcW w:w="1389"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c>
          <w:tcPr>
            <w:tcW w:w="1435" w:type="dxa"/>
            <w:tcBorders>
              <w:top w:val="nil"/>
              <w:left w:val="nil"/>
              <w:bottom w:val="nil"/>
              <w:right w:val="nil"/>
            </w:tcBorders>
            <w:shd w:val="clear" w:color="auto" w:fill="FFFFFF"/>
          </w:tcPr>
          <w:p w:rsidR="001E2806" w:rsidRDefault="001E2806">
            <w:pPr>
              <w:tabs>
                <w:tab w:val="decimal" w:pos="674"/>
              </w:tabs>
              <w:rPr>
                <w:rFonts w:cs="Times New Roman"/>
                <w:sz w:val="20"/>
                <w:szCs w:val="20"/>
                <w:lang w:val="en-GB"/>
              </w:rPr>
            </w:pP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(0.09)</w:t>
            </w: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Monthly</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0.092</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3.226</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2.048</w:t>
            </w: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(0.85)</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(1.84)+</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(8.51)**</w:t>
            </w:r>
          </w:p>
        </w:tc>
        <w:tc>
          <w:tcPr>
            <w:tcW w:w="1477" w:type="dxa"/>
            <w:tcBorders>
              <w:top w:val="nil"/>
              <w:left w:val="nil"/>
              <w:bottom w:val="nil"/>
              <w:right w:val="nil"/>
            </w:tcBorders>
            <w:shd w:val="clear" w:color="auto" w:fill="FFFFFF"/>
          </w:tcPr>
          <w:p w:rsidR="001E2806" w:rsidRDefault="001E2806">
            <w:pPr>
              <w:tabs>
                <w:tab w:val="decimal" w:pos="538"/>
              </w:tabs>
              <w:rPr>
                <w:rFonts w:cs="Times New Roman"/>
                <w:sz w:val="20"/>
                <w:szCs w:val="20"/>
                <w:lang w:val="en-GB"/>
              </w:rPr>
            </w:pP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Ln(Sample_size)</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-0.015</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1.151</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-1.146</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0.097</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(1.07)</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(2.05)*</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(5.75)**</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(2.65)*</w:t>
            </w:r>
          </w:p>
        </w:tc>
      </w:tr>
      <w:tr w:rsidR="001E2806">
        <w:tc>
          <w:tcPr>
            <w:tcW w:w="3948" w:type="dxa"/>
            <w:tcBorders>
              <w:top w:val="single" w:sz="4" w:space="0" w:color="00000A"/>
              <w:left w:val="nil"/>
              <w:bottom w:val="nil"/>
              <w:right w:val="nil"/>
            </w:tcBorders>
            <w:shd w:val="clear" w:color="auto" w:fill="FFFFFF"/>
          </w:tcPr>
          <w:p w:rsidR="001E2806" w:rsidRDefault="00515A19">
            <w:pPr>
              <w:rPr>
                <w:rFonts w:cs="Times New Roman"/>
                <w:sz w:val="20"/>
                <w:szCs w:val="20"/>
                <w:lang w:val="en-GB"/>
              </w:rPr>
            </w:pPr>
            <w:r>
              <w:rPr>
                <w:rFonts w:cs="Times New Roman"/>
                <w:sz w:val="20"/>
                <w:szCs w:val="20"/>
                <w:lang w:val="en-GB"/>
              </w:rPr>
              <w:t>Constant</w:t>
            </w:r>
          </w:p>
        </w:tc>
        <w:tc>
          <w:tcPr>
            <w:tcW w:w="1389" w:type="dxa"/>
            <w:tcBorders>
              <w:top w:val="single"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0.488</w:t>
            </w:r>
          </w:p>
        </w:tc>
        <w:tc>
          <w:tcPr>
            <w:tcW w:w="1389" w:type="dxa"/>
            <w:tcBorders>
              <w:top w:val="single"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-6.439</w:t>
            </w:r>
          </w:p>
        </w:tc>
        <w:tc>
          <w:tcPr>
            <w:tcW w:w="1435" w:type="dxa"/>
            <w:tcBorders>
              <w:top w:val="single" w:sz="4" w:space="0" w:color="00000A"/>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5.234</w:t>
            </w:r>
          </w:p>
        </w:tc>
        <w:tc>
          <w:tcPr>
            <w:tcW w:w="1477" w:type="dxa"/>
            <w:tcBorders>
              <w:top w:val="single" w:sz="4" w:space="0" w:color="00000A"/>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-0.669</w:t>
            </w:r>
          </w:p>
        </w:tc>
      </w:tr>
      <w:tr w:rsidR="001E2806">
        <w:tc>
          <w:tcPr>
            <w:tcW w:w="3948" w:type="dxa"/>
            <w:tcBorders>
              <w:top w:val="nil"/>
              <w:left w:val="nil"/>
              <w:bottom w:val="nil"/>
              <w:right w:val="nil"/>
            </w:tcBorders>
            <w:shd w:val="clear" w:color="auto" w:fill="FFFFFF"/>
          </w:tcPr>
          <w:p w:rsidR="001E2806" w:rsidRDefault="001E2806">
            <w:pPr>
              <w:rPr>
                <w:rFonts w:cs="Times New Roman"/>
                <w:sz w:val="20"/>
                <w:szCs w:val="20"/>
                <w:lang w:val="en-GB"/>
              </w:rPr>
            </w:pP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(2.59)*</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(1.85)+</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(5.92)**</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(1.77)+</w:t>
            </w:r>
          </w:p>
        </w:tc>
      </w:tr>
      <w:tr w:rsidR="001E2806">
        <w:tc>
          <w:tcPr>
            <w:tcW w:w="3948" w:type="dxa"/>
            <w:tcBorders>
              <w:top w:val="nil"/>
              <w:left w:val="nil"/>
              <w:bottom w:val="nil"/>
              <w:right w:val="nil"/>
            </w:tcBorders>
            <w:shd w:val="clear" w:color="auto" w:fill="FFFFFF"/>
          </w:tcPr>
          <w:p w:rsidR="001E2806" w:rsidRDefault="00515A19">
            <w:pPr>
              <w:rPr>
                <w:rFonts w:cs="Times New Roman"/>
                <w:sz w:val="20"/>
                <w:szCs w:val="20"/>
                <w:vertAlign w:val="superscript"/>
                <w:lang w:val="en-GB"/>
              </w:rPr>
            </w:pPr>
            <w:r>
              <w:rPr>
                <w:rFonts w:cs="Times New Roman"/>
                <w:i/>
                <w:iCs/>
                <w:sz w:val="20"/>
                <w:szCs w:val="20"/>
                <w:lang w:val="en-GB"/>
              </w:rPr>
              <w:t>R</w:t>
            </w:r>
            <w:r>
              <w:rPr>
                <w:rFonts w:cs="Times New Roman"/>
                <w:sz w:val="20"/>
                <w:szCs w:val="20"/>
                <w:vertAlign w:val="superscript"/>
                <w:lang w:val="en-GB"/>
              </w:rPr>
              <w:t>2</w:t>
            </w:r>
          </w:p>
        </w:tc>
        <w:tc>
          <w:tcPr>
            <w:tcW w:w="1389"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 xml:space="preserve"> 0.76</w:t>
            </w:r>
          </w:p>
        </w:tc>
        <w:tc>
          <w:tcPr>
            <w:tcW w:w="1389" w:type="dxa"/>
            <w:tcBorders>
              <w:top w:val="nil"/>
              <w:left w:val="nil"/>
              <w:bottom w:val="nil"/>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0.96</w:t>
            </w:r>
          </w:p>
        </w:tc>
        <w:tc>
          <w:tcPr>
            <w:tcW w:w="1435" w:type="dxa"/>
            <w:tcBorders>
              <w:top w:val="nil"/>
              <w:left w:val="nil"/>
              <w:bottom w:val="nil"/>
              <w:right w:val="nil"/>
            </w:tcBorders>
            <w:shd w:val="clear" w:color="auto" w:fill="FFFFFF"/>
          </w:tcPr>
          <w:p w:rsidR="001E2806" w:rsidRDefault="00515A19">
            <w:pPr>
              <w:tabs>
                <w:tab w:val="decimal" w:pos="674"/>
              </w:tabs>
              <w:rPr>
                <w:rFonts w:cs="Times New Roman"/>
                <w:sz w:val="20"/>
                <w:szCs w:val="20"/>
                <w:lang w:val="en-GB"/>
              </w:rPr>
            </w:pPr>
            <w:r>
              <w:rPr>
                <w:rFonts w:cs="Times New Roman"/>
                <w:sz w:val="20"/>
                <w:szCs w:val="20"/>
                <w:lang w:val="en-GB"/>
              </w:rPr>
              <w:t xml:space="preserve">  0.99</w:t>
            </w:r>
          </w:p>
        </w:tc>
        <w:tc>
          <w:tcPr>
            <w:tcW w:w="1477" w:type="dxa"/>
            <w:tcBorders>
              <w:top w:val="nil"/>
              <w:left w:val="nil"/>
              <w:bottom w:val="nil"/>
              <w:right w:val="nil"/>
            </w:tcBorders>
            <w:shd w:val="clear" w:color="auto" w:fill="FFFFFF"/>
          </w:tcPr>
          <w:p w:rsidR="001E2806" w:rsidRDefault="00515A19">
            <w:pPr>
              <w:tabs>
                <w:tab w:val="decimal" w:pos="538"/>
              </w:tabs>
              <w:rPr>
                <w:rFonts w:cs="Times New Roman"/>
                <w:sz w:val="20"/>
                <w:szCs w:val="20"/>
                <w:lang w:val="en-GB"/>
              </w:rPr>
            </w:pPr>
            <w:r>
              <w:rPr>
                <w:rFonts w:cs="Times New Roman"/>
                <w:sz w:val="20"/>
                <w:szCs w:val="20"/>
                <w:lang w:val="en-GB"/>
              </w:rPr>
              <w:t xml:space="preserve">  0.87</w:t>
            </w:r>
          </w:p>
        </w:tc>
      </w:tr>
      <w:tr w:rsidR="001E2806">
        <w:tc>
          <w:tcPr>
            <w:tcW w:w="3948" w:type="dxa"/>
            <w:tcBorders>
              <w:top w:val="nil"/>
              <w:left w:val="nil"/>
              <w:bottom w:val="single" w:sz="6" w:space="0" w:color="00000A"/>
              <w:right w:val="nil"/>
            </w:tcBorders>
            <w:shd w:val="clear" w:color="auto" w:fill="FFFFFF"/>
          </w:tcPr>
          <w:p w:rsidR="001E2806" w:rsidRDefault="00515A19">
            <w:pPr>
              <w:rPr>
                <w:rFonts w:cs="Times New Roman"/>
                <w:i/>
                <w:iCs/>
                <w:sz w:val="20"/>
                <w:szCs w:val="20"/>
                <w:lang w:val="en-GB"/>
              </w:rPr>
            </w:pPr>
            <w:r>
              <w:rPr>
                <w:rFonts w:cs="Times New Roman"/>
                <w:i/>
                <w:iCs/>
                <w:sz w:val="20"/>
                <w:szCs w:val="20"/>
                <w:lang w:val="en-GB"/>
              </w:rPr>
              <w:t>Observations</w:t>
            </w:r>
          </w:p>
        </w:tc>
        <w:tc>
          <w:tcPr>
            <w:tcW w:w="1389" w:type="dxa"/>
            <w:tcBorders>
              <w:top w:val="nil"/>
              <w:left w:val="nil"/>
              <w:bottom w:val="single" w:sz="6" w:space="0" w:color="00000A"/>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117</w:t>
            </w:r>
          </w:p>
        </w:tc>
        <w:tc>
          <w:tcPr>
            <w:tcW w:w="1389" w:type="dxa"/>
            <w:tcBorders>
              <w:top w:val="nil"/>
              <w:left w:val="nil"/>
              <w:bottom w:val="single" w:sz="6" w:space="0" w:color="00000A"/>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57</w:t>
            </w:r>
          </w:p>
        </w:tc>
        <w:tc>
          <w:tcPr>
            <w:tcW w:w="1435" w:type="dxa"/>
            <w:tcBorders>
              <w:top w:val="nil"/>
              <w:left w:val="nil"/>
              <w:bottom w:val="single" w:sz="6" w:space="0" w:color="00000A"/>
              <w:right w:val="nil"/>
            </w:tcBorders>
            <w:shd w:val="clear" w:color="auto" w:fill="FFFFFF"/>
          </w:tcPr>
          <w:p w:rsidR="001E2806" w:rsidRDefault="00515A19">
            <w:pPr>
              <w:tabs>
                <w:tab w:val="decimal" w:pos="674"/>
              </w:tabs>
              <w:jc w:val="center"/>
              <w:rPr>
                <w:rFonts w:cs="Times New Roman"/>
                <w:sz w:val="20"/>
                <w:szCs w:val="20"/>
                <w:lang w:val="en-GB"/>
              </w:rPr>
            </w:pPr>
            <w:r>
              <w:rPr>
                <w:rFonts w:cs="Times New Roman"/>
                <w:sz w:val="20"/>
                <w:szCs w:val="20"/>
                <w:lang w:val="en-GB"/>
              </w:rPr>
              <w:t>30</w:t>
            </w:r>
          </w:p>
        </w:tc>
        <w:tc>
          <w:tcPr>
            <w:tcW w:w="1477" w:type="dxa"/>
            <w:tcBorders>
              <w:top w:val="nil"/>
              <w:left w:val="nil"/>
              <w:bottom w:val="single" w:sz="6" w:space="0" w:color="00000A"/>
              <w:right w:val="nil"/>
            </w:tcBorders>
            <w:shd w:val="clear" w:color="auto" w:fill="FFFFFF"/>
          </w:tcPr>
          <w:p w:rsidR="001E2806" w:rsidRDefault="00515A19">
            <w:pPr>
              <w:tabs>
                <w:tab w:val="decimal" w:pos="538"/>
              </w:tabs>
              <w:jc w:val="center"/>
              <w:rPr>
                <w:rFonts w:cs="Times New Roman"/>
                <w:sz w:val="20"/>
                <w:szCs w:val="20"/>
                <w:lang w:val="en-GB"/>
              </w:rPr>
            </w:pPr>
            <w:r>
              <w:rPr>
                <w:rFonts w:cs="Times New Roman"/>
                <w:sz w:val="20"/>
                <w:szCs w:val="20"/>
                <w:lang w:val="en-GB"/>
              </w:rPr>
              <w:t>34</w:t>
            </w:r>
          </w:p>
        </w:tc>
      </w:tr>
    </w:tbl>
    <w:p w:rsidR="001E2806" w:rsidRPr="00422A95" w:rsidRDefault="00E364A3">
      <w:pPr>
        <w:rPr>
          <w:rFonts w:cs="Times New Roman"/>
        </w:rPr>
      </w:pPr>
      <w:r w:rsidRPr="00422A95">
        <w:rPr>
          <w:rFonts w:cs="Times New Roman"/>
        </w:rPr>
        <w:t>Nota:</w:t>
      </w:r>
      <w:r w:rsidRPr="00422A95">
        <w:rPr>
          <w:rFonts w:cs="Times New Roman"/>
          <w:i/>
        </w:rPr>
        <w:t xml:space="preserve"> t-stats </w:t>
      </w:r>
      <w:r w:rsidRPr="00422A95">
        <w:rPr>
          <w:rFonts w:cs="Times New Roman"/>
        </w:rPr>
        <w:t>in parentesi;</w:t>
      </w:r>
      <w:r w:rsidRPr="00422A95">
        <w:rPr>
          <w:rFonts w:cs="Times New Roman"/>
          <w:i/>
        </w:rPr>
        <w:t xml:space="preserve"> </w:t>
      </w:r>
      <w:r w:rsidRPr="00422A95">
        <w:rPr>
          <w:rFonts w:cs="Times New Roman"/>
        </w:rPr>
        <w:t>+, *, e ** indicano significativit</w:t>
      </w:r>
      <w:r w:rsidRPr="00422A95">
        <w:rPr>
          <w:rFonts w:cs="Times New Roman" w:hint="cs"/>
        </w:rPr>
        <w:t>à</w:t>
      </w:r>
      <w:r w:rsidRPr="00422A95">
        <w:rPr>
          <w:rFonts w:cs="Times New Roman"/>
        </w:rPr>
        <w:t xml:space="preserve"> statistica al 10, 5 e 1 percento. </w:t>
      </w:r>
    </w:p>
    <w:p w:rsidR="001E2806" w:rsidRPr="00422A95" w:rsidRDefault="001E2806">
      <w:pPr>
        <w:rPr>
          <w:rFonts w:cs="Times New Roman"/>
        </w:rPr>
      </w:pPr>
    </w:p>
    <w:p w:rsidR="001E2806" w:rsidRDefault="001E2806"/>
    <w:sectPr w:rsidR="001E2806" w:rsidSect="00054287">
      <w:pgSz w:w="11906" w:h="16838"/>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3A" w:rsidRDefault="00042A3A">
      <w:r>
        <w:separator/>
      </w:r>
    </w:p>
  </w:endnote>
  <w:endnote w:type="continuationSeparator" w:id="0">
    <w:p w:rsidR="00042A3A" w:rsidRDefault="0004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Liberation San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iberation Mono">
    <w:altName w:val="Courier New"/>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A" w:rsidRDefault="001C42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A" w:rsidRDefault="001C42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A" w:rsidRDefault="001C42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3A" w:rsidRDefault="00042A3A">
      <w:r>
        <w:separator/>
      </w:r>
    </w:p>
  </w:footnote>
  <w:footnote w:type="continuationSeparator" w:id="0">
    <w:p w:rsidR="00042A3A" w:rsidRDefault="00042A3A">
      <w:r>
        <w:continuationSeparator/>
      </w:r>
    </w:p>
  </w:footnote>
  <w:footnote w:id="1">
    <w:p w:rsidR="001C42CA" w:rsidRDefault="001C42CA">
      <w:pPr>
        <w:pStyle w:val="Notaapidipagina"/>
        <w:rPr>
          <w:rFonts w:ascii="Times New Roman" w:hAnsi="Times New Roman"/>
          <w:sz w:val="18"/>
          <w:szCs w:val="18"/>
        </w:rPr>
      </w:pPr>
      <w:r>
        <w:rPr>
          <w:rFonts w:ascii="Times New Roman" w:hAnsi="Times New Roman"/>
          <w:sz w:val="18"/>
          <w:szCs w:val="18"/>
        </w:rPr>
        <w:footnoteRef/>
      </w:r>
      <w:r>
        <w:rPr>
          <w:rFonts w:ascii="Times New Roman" w:hAnsi="Times New Roman"/>
          <w:sz w:val="18"/>
          <w:szCs w:val="18"/>
        </w:rPr>
        <w:tab/>
        <w:t xml:space="preserve"> In primo luogo le stime per ogni micronutriente sono meno di 20 e dunque sarebbe impossibile condurre una meta-analisi; in secondo luogo le elasticità di ferro e zinco sono statisticamente non differenti. Dettagli sono forniti nello studio di Santeramo e Shabnam (2015).</w:t>
      </w:r>
    </w:p>
  </w:footnote>
  <w:footnote w:id="2">
    <w:p w:rsidR="001C42CA" w:rsidRDefault="001C42CA">
      <w:pPr>
        <w:pStyle w:val="Notaapidipagina"/>
        <w:rPr>
          <w:rFonts w:ascii="Times New Roman" w:hAnsi="Times New Roman"/>
          <w:sz w:val="18"/>
          <w:szCs w:val="18"/>
        </w:rPr>
      </w:pPr>
      <w:r>
        <w:rPr>
          <w:rFonts w:ascii="Times New Roman" w:hAnsi="Times New Roman"/>
          <w:sz w:val="18"/>
          <w:szCs w:val="18"/>
        </w:rPr>
        <w:footnoteRef/>
      </w:r>
      <w:r>
        <w:rPr>
          <w:rFonts w:ascii="Times New Roman" w:hAnsi="Times New Roman"/>
          <w:sz w:val="18"/>
          <w:szCs w:val="18"/>
        </w:rPr>
        <w:tab/>
        <w:t>La stima è stata effettuata con la tecnica dei minimi quadrati ponderati così da ridurre l'effetto di bias di pubblicazione. L'approccio è simile a quello utilizzato in Ogundari e Adbulai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A" w:rsidRDefault="001C4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A" w:rsidRDefault="001C42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CA" w:rsidRDefault="001C4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8CF"/>
    <w:multiLevelType w:val="multilevel"/>
    <w:tmpl w:val="37BE01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00070"/>
    <w:multiLevelType w:val="multilevel"/>
    <w:tmpl w:val="136EBA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119694D"/>
    <w:multiLevelType w:val="hybridMultilevel"/>
    <w:tmpl w:val="137A70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A02CB4"/>
    <w:multiLevelType w:val="hybridMultilevel"/>
    <w:tmpl w:val="4D30799A"/>
    <w:lvl w:ilvl="0" w:tplc="C4101926">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4" w15:restartNumberingAfterBreak="0">
    <w:nsid w:val="4BA37A2F"/>
    <w:multiLevelType w:val="hybridMultilevel"/>
    <w:tmpl w:val="4D30799A"/>
    <w:lvl w:ilvl="0" w:tplc="C4101926">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5" w15:restartNumberingAfterBreak="0">
    <w:nsid w:val="646F30F1"/>
    <w:multiLevelType w:val="hybridMultilevel"/>
    <w:tmpl w:val="4D30799A"/>
    <w:lvl w:ilvl="0" w:tplc="C4101926">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6" w15:restartNumberingAfterBreak="0">
    <w:nsid w:val="70CA420D"/>
    <w:multiLevelType w:val="multilevel"/>
    <w:tmpl w:val="64E07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06"/>
    <w:rsid w:val="00042A3A"/>
    <w:rsid w:val="00054287"/>
    <w:rsid w:val="001C42CA"/>
    <w:rsid w:val="001E2806"/>
    <w:rsid w:val="002B10FE"/>
    <w:rsid w:val="002C359A"/>
    <w:rsid w:val="00402F0C"/>
    <w:rsid w:val="00412647"/>
    <w:rsid w:val="00422A95"/>
    <w:rsid w:val="00515A19"/>
    <w:rsid w:val="005C36D8"/>
    <w:rsid w:val="00671C8C"/>
    <w:rsid w:val="008C3AAF"/>
    <w:rsid w:val="00955FC6"/>
    <w:rsid w:val="00A2009B"/>
    <w:rsid w:val="00BE1CF6"/>
    <w:rsid w:val="00C966B6"/>
    <w:rsid w:val="00D10990"/>
    <w:rsid w:val="00DB4A35"/>
    <w:rsid w:val="00E24F62"/>
    <w:rsid w:val="00E364A3"/>
    <w:rsid w:val="00E707B5"/>
    <w:rsid w:val="00E70B89"/>
    <w:rsid w:val="00FB29DB"/>
    <w:rsid w:val="00FF5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color w:val="00000A"/>
    </w:rPr>
  </w:style>
  <w:style w:type="paragraph" w:styleId="Heading1">
    <w:name w:val="heading 1"/>
    <w:basedOn w:val="Title"/>
    <w:pPr>
      <w:outlineLvl w:val="0"/>
    </w:pPr>
    <w:rPr>
      <w:b/>
      <w:bCs/>
      <w:sz w:val="36"/>
      <w:szCs w:val="36"/>
    </w:rPr>
  </w:style>
  <w:style w:type="paragraph" w:styleId="Heading2">
    <w:name w:val="heading 2"/>
    <w:basedOn w:val="Title"/>
    <w:pPr>
      <w:spacing w:before="200"/>
      <w:outlineLvl w:val="1"/>
    </w:pPr>
    <w:rPr>
      <w:b/>
      <w:bCs/>
      <w:sz w:val="32"/>
      <w:szCs w:val="32"/>
    </w:rPr>
  </w:style>
  <w:style w:type="paragraph" w:styleId="Heading3">
    <w:name w:val="heading 3"/>
    <w:basedOn w:val="Title"/>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b/>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2">
    <w:name w:val="ListLabel 2"/>
    <w:rPr>
      <w:b/>
    </w:rPr>
  </w:style>
  <w:style w:type="character" w:customStyle="1" w:styleId="Caratteredellanota">
    <w:name w:val="Carattere della nota"/>
  </w:style>
  <w:style w:type="character" w:customStyle="1" w:styleId="Caratterenotadichiusura">
    <w:name w:val="Carattere nota di chiusura"/>
  </w:style>
  <w:style w:type="paragraph" w:styleId="Title">
    <w:name w:val="Title"/>
    <w:basedOn w:val="Normal"/>
    <w:next w:val="Corpodeltesto"/>
    <w:pPr>
      <w:keepNext/>
      <w:spacing w:before="240" w:after="120"/>
    </w:pPr>
    <w:rPr>
      <w:rFonts w:ascii="Liberation Sans" w:hAnsi="Liberation Sans"/>
      <w:sz w:val="28"/>
      <w:szCs w:val="28"/>
    </w:rPr>
  </w:style>
  <w:style w:type="paragraph" w:customStyle="1" w:styleId="Corpodeltesto">
    <w:name w:val="Corpo del testo"/>
    <w:basedOn w:val="Normal"/>
    <w:pPr>
      <w:spacing w:after="140" w:line="288" w:lineRule="auto"/>
    </w:pPr>
  </w:style>
  <w:style w:type="paragraph" w:styleId="List">
    <w:name w:val="List"/>
    <w:basedOn w:val="Corpodeltesto"/>
  </w:style>
  <w:style w:type="paragraph" w:styleId="Caption">
    <w:name w:val="caption"/>
    <w:basedOn w:val="Normal"/>
    <w:pPr>
      <w:suppressLineNumbers/>
      <w:spacing w:before="120" w:after="120"/>
    </w:pPr>
    <w:rPr>
      <w:i/>
      <w:iCs/>
    </w:rPr>
  </w:style>
  <w:style w:type="paragraph" w:customStyle="1" w:styleId="Indice">
    <w:name w:val="Indice"/>
    <w:basedOn w:val="Normal"/>
    <w:pPr>
      <w:suppressLineNumbers/>
    </w:pPr>
  </w:style>
  <w:style w:type="paragraph" w:styleId="ListParagraph">
    <w:name w:val="List Paragraph"/>
    <w:basedOn w:val="Normal"/>
    <w:uiPriority w:val="34"/>
    <w:qFormat/>
    <w:pPr>
      <w:spacing w:after="200"/>
      <w:ind w:left="720"/>
      <w:contextualSpacing/>
    </w:pPr>
    <w:rPr>
      <w:rFonts w:cs="Calibri"/>
      <w:lang w:val="en-ZA" w:eastAsia="en-US"/>
    </w:rPr>
  </w:style>
  <w:style w:type="paragraph" w:styleId="Footer">
    <w:name w:val="footer"/>
    <w:basedOn w:val="Normal"/>
    <w:pPr>
      <w:tabs>
        <w:tab w:val="center" w:pos="4819"/>
        <w:tab w:val="right" w:pos="9638"/>
      </w:tabs>
    </w:pPr>
  </w:style>
  <w:style w:type="paragraph" w:styleId="EndnoteText">
    <w:name w:val="endnote text"/>
    <w:basedOn w:val="Normal"/>
    <w:rPr>
      <w:sz w:val="20"/>
      <w:szCs w:val="20"/>
    </w:rPr>
  </w:style>
  <w:style w:type="paragraph" w:customStyle="1" w:styleId="Testopreformattato">
    <w:name w:val="Testo preformattato"/>
    <w:basedOn w:val="Normal"/>
    <w:rPr>
      <w:rFonts w:ascii="Liberation Mono" w:hAnsi="Liberation Mono" w:cs="Liberation Mono"/>
      <w:sz w:val="20"/>
      <w:szCs w:val="20"/>
    </w:rPr>
  </w:style>
  <w:style w:type="paragraph" w:customStyle="1" w:styleId="Notaapidipagina">
    <w:name w:val="Nota a piè di pagina"/>
    <w:basedOn w:val="Normal"/>
    <w:pPr>
      <w:suppressLineNumbers/>
      <w:ind w:left="339" w:hanging="339"/>
    </w:pPr>
    <w:rPr>
      <w:sz w:val="20"/>
      <w:szCs w:val="20"/>
    </w:rPr>
  </w:style>
  <w:style w:type="paragraph" w:styleId="Quote">
    <w:name w:val="Quote"/>
    <w:basedOn w:val="Normal"/>
    <w:pPr>
      <w:spacing w:after="283"/>
      <w:ind w:left="567" w:right="567"/>
    </w:pPr>
  </w:style>
  <w:style w:type="paragraph" w:customStyle="1" w:styleId="Titoloprincipale">
    <w:name w:val="Titolo principale"/>
    <w:basedOn w:val="Title"/>
    <w:pPr>
      <w:jc w:val="center"/>
    </w:pPr>
    <w:rPr>
      <w:b/>
      <w:bCs/>
      <w:sz w:val="56"/>
      <w:szCs w:val="56"/>
    </w:rPr>
  </w:style>
  <w:style w:type="paragraph" w:styleId="Subtitle">
    <w:name w:val="Subtitle"/>
    <w:basedOn w:val="Title"/>
    <w:pPr>
      <w:spacing w:before="60"/>
      <w:jc w:val="center"/>
    </w:pPr>
    <w:rPr>
      <w:sz w:val="36"/>
      <w:szCs w:val="36"/>
    </w:rPr>
  </w:style>
  <w:style w:type="paragraph" w:customStyle="1" w:styleId="Contenutotabella">
    <w:name w:val="Contenuto tabella"/>
    <w:basedOn w:val="Normal"/>
    <w:pPr>
      <w:suppressLineNumbers/>
    </w:pPr>
  </w:style>
  <w:style w:type="paragraph" w:customStyle="1" w:styleId="Titolotabella">
    <w:name w:val="Titolo tabella"/>
    <w:basedOn w:val="Contenutotabella"/>
    <w:pPr>
      <w:jc w:val="center"/>
    </w:pPr>
    <w:rPr>
      <w:b/>
      <w:bCs/>
    </w:rPr>
  </w:style>
  <w:style w:type="paragraph" w:styleId="BalloonText">
    <w:name w:val="Balloon Text"/>
    <w:basedOn w:val="Normal"/>
    <w:link w:val="TestofumettoCarattere"/>
    <w:uiPriority w:val="99"/>
    <w:semiHidden/>
    <w:unhideWhenUsed/>
    <w:rsid w:val="00515A19"/>
    <w:rPr>
      <w:rFonts w:ascii="Tahoma" w:hAnsi="Tahoma" w:cs="Mangal"/>
      <w:sz w:val="16"/>
      <w:szCs w:val="14"/>
    </w:rPr>
  </w:style>
  <w:style w:type="character" w:customStyle="1" w:styleId="TestofumettoCarattere">
    <w:name w:val="Testo fumetto Carattere"/>
    <w:basedOn w:val="DefaultParagraphFont"/>
    <w:link w:val="BalloonText"/>
    <w:uiPriority w:val="99"/>
    <w:semiHidden/>
    <w:rsid w:val="00515A19"/>
    <w:rPr>
      <w:rFonts w:ascii="Tahoma" w:hAnsi="Tahoma" w:cs="Mangal"/>
      <w:color w:val="00000A"/>
      <w:sz w:val="16"/>
      <w:szCs w:val="14"/>
    </w:rPr>
  </w:style>
  <w:style w:type="character" w:styleId="CommentReference">
    <w:name w:val="annotation reference"/>
    <w:basedOn w:val="DefaultParagraphFont"/>
    <w:uiPriority w:val="99"/>
    <w:semiHidden/>
    <w:unhideWhenUsed/>
    <w:rsid w:val="00E24F62"/>
    <w:rPr>
      <w:sz w:val="16"/>
      <w:szCs w:val="16"/>
    </w:rPr>
  </w:style>
  <w:style w:type="paragraph" w:styleId="CommentText">
    <w:name w:val="annotation text"/>
    <w:basedOn w:val="Normal"/>
    <w:link w:val="CommentTextChar"/>
    <w:uiPriority w:val="99"/>
    <w:semiHidden/>
    <w:unhideWhenUsed/>
    <w:rsid w:val="00E24F62"/>
    <w:rPr>
      <w:rFonts w:cs="Mangal"/>
      <w:sz w:val="20"/>
      <w:szCs w:val="18"/>
    </w:rPr>
  </w:style>
  <w:style w:type="character" w:customStyle="1" w:styleId="CommentTextChar">
    <w:name w:val="Comment Text Char"/>
    <w:basedOn w:val="DefaultParagraphFont"/>
    <w:link w:val="CommentText"/>
    <w:uiPriority w:val="99"/>
    <w:semiHidden/>
    <w:rsid w:val="00E24F62"/>
    <w:rPr>
      <w:rFonts w:cs="Mangal"/>
      <w:color w:val="00000A"/>
      <w:sz w:val="20"/>
      <w:szCs w:val="18"/>
    </w:rPr>
  </w:style>
  <w:style w:type="paragraph" w:styleId="CommentSubject">
    <w:name w:val="annotation subject"/>
    <w:basedOn w:val="CommentText"/>
    <w:next w:val="CommentText"/>
    <w:link w:val="CommentSubjectChar"/>
    <w:uiPriority w:val="99"/>
    <w:semiHidden/>
    <w:unhideWhenUsed/>
    <w:rsid w:val="00E24F62"/>
    <w:rPr>
      <w:b/>
      <w:bCs/>
    </w:rPr>
  </w:style>
  <w:style w:type="character" w:customStyle="1" w:styleId="CommentSubjectChar">
    <w:name w:val="Comment Subject Char"/>
    <w:basedOn w:val="CommentTextChar"/>
    <w:link w:val="CommentSubject"/>
    <w:uiPriority w:val="99"/>
    <w:semiHidden/>
    <w:rsid w:val="00E24F62"/>
    <w:rPr>
      <w:rFonts w:cs="Mangal"/>
      <w:b/>
      <w:bCs/>
      <w:color w:val="00000A"/>
      <w:sz w:val="20"/>
      <w:szCs w:val="18"/>
    </w:rPr>
  </w:style>
  <w:style w:type="paragraph" w:styleId="Header">
    <w:name w:val="header"/>
    <w:basedOn w:val="Normal"/>
    <w:link w:val="HeaderChar"/>
    <w:uiPriority w:val="99"/>
    <w:semiHidden/>
    <w:unhideWhenUsed/>
    <w:rsid w:val="00412647"/>
    <w:pPr>
      <w:tabs>
        <w:tab w:val="center" w:pos="4819"/>
        <w:tab w:val="right" w:pos="9638"/>
      </w:tabs>
    </w:pPr>
    <w:rPr>
      <w:rFonts w:cs="Mangal"/>
      <w:szCs w:val="21"/>
    </w:rPr>
  </w:style>
  <w:style w:type="character" w:customStyle="1" w:styleId="HeaderChar">
    <w:name w:val="Header Char"/>
    <w:basedOn w:val="DefaultParagraphFont"/>
    <w:link w:val="Header"/>
    <w:uiPriority w:val="99"/>
    <w:semiHidden/>
    <w:rsid w:val="00412647"/>
    <w:rPr>
      <w:rFonts w:cs="Mangal"/>
      <w:color w:val="00000A"/>
      <w:szCs w:val="21"/>
    </w:rPr>
  </w:style>
  <w:style w:type="paragraph" w:styleId="Revision">
    <w:name w:val="Revision"/>
    <w:hidden/>
    <w:uiPriority w:val="99"/>
    <w:semiHidden/>
    <w:rsid w:val="001C42CA"/>
    <w:rPr>
      <w:rFonts w:cs="Mangal"/>
      <w:color w:val="00000A"/>
      <w:szCs w:val="21"/>
    </w:rPr>
  </w:style>
  <w:style w:type="character" w:styleId="Strong">
    <w:name w:val="Strong"/>
    <w:basedOn w:val="DefaultParagraphFont"/>
    <w:uiPriority w:val="22"/>
    <w:qFormat/>
    <w:rsid w:val="002C359A"/>
    <w:rPr>
      <w:b/>
      <w:bCs/>
    </w:rPr>
  </w:style>
  <w:style w:type="character" w:styleId="Hyperlink">
    <w:name w:val="Hyperlink"/>
    <w:basedOn w:val="DefaultParagraphFont"/>
    <w:uiPriority w:val="99"/>
    <w:semiHidden/>
    <w:unhideWhenUsed/>
    <w:rsid w:val="002C3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0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lfri20/curre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ndfonline.com/eprint/ZR2Cv9SVPDU9Undj4VZA/ful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2016-01-28T15:48:00Z</dcterms:created>
  <dcterms:modified xsi:type="dcterms:W3CDTF">2016-01-28T15:50:00Z</dcterms:modified>
  <dc:language/>
</cp:coreProperties>
</file>